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054" w:rsidRPr="002B783B" w:rsidRDefault="00C479FE" w:rsidP="00620054">
      <w:pPr>
        <w:ind w:right="756"/>
        <w:rPr>
          <w:rFonts w:eastAsia="HelveticaNeueLT Std Lt Cn" w:cs="Arial"/>
          <w:b/>
          <w:bCs/>
          <w:caps/>
          <w:sz w:val="96"/>
          <w:szCs w:val="96"/>
        </w:rPr>
      </w:pPr>
      <w:bookmarkStart w:id="0" w:name="_GoBack"/>
      <w:bookmarkEnd w:id="0"/>
      <w:r>
        <w:rPr>
          <w:noProof/>
          <w:sz w:val="28"/>
          <w:lang w:eastAsia="en-AU"/>
        </w:rPr>
        <w:drawing>
          <wp:anchor distT="0" distB="0" distL="114300" distR="114300" simplePos="0" relativeHeight="251659264" behindDoc="0" locked="0" layoutInCell="1" allowOverlap="1" wp14:anchorId="059CF573" wp14:editId="7180E4B6">
            <wp:simplePos x="0" y="0"/>
            <wp:positionH relativeFrom="column">
              <wp:posOffset>-280035</wp:posOffset>
            </wp:positionH>
            <wp:positionV relativeFrom="paragraph">
              <wp:posOffset>-523240</wp:posOffset>
            </wp:positionV>
            <wp:extent cx="4278630" cy="824230"/>
            <wp:effectExtent l="0" t="0" r="7620" b="0"/>
            <wp:wrapSquare wrapText="bothSides"/>
            <wp:docPr id="1" name="Picture 1" descr="Australian Government Crest and Aged Care Pricing Commissioner Branding" title="Australian Government Crest and Aged Care Pricing Commissioner Bra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vid Ayres\AppData\Local\Microsoft\Windows\Temporary Internet Files\Content.IE5\3HRTP0KK\ACPA_inline_BLACK[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78630" cy="8242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20054" w:rsidRPr="002B783B" w:rsidRDefault="00620054" w:rsidP="00620054">
      <w:pPr>
        <w:ind w:right="275"/>
        <w:rPr>
          <w:rFonts w:eastAsia="HelveticaNeueLT Std Lt Cn" w:cs="Arial"/>
          <w:bCs/>
          <w:i/>
          <w:caps/>
          <w:sz w:val="96"/>
          <w:szCs w:val="96"/>
        </w:rPr>
      </w:pPr>
    </w:p>
    <w:p w:rsidR="00C479FE" w:rsidRDefault="00C479FE" w:rsidP="00562E29">
      <w:pPr>
        <w:pStyle w:val="Heading1"/>
      </w:pPr>
      <w:bookmarkStart w:id="1" w:name="_Toc380153540"/>
      <w:r w:rsidRPr="00562E29">
        <w:t>ASSESSOR MANUAL</w:t>
      </w:r>
      <w:bookmarkEnd w:id="1"/>
      <w:r w:rsidRPr="00562E29">
        <w:t xml:space="preserve"> </w:t>
      </w:r>
    </w:p>
    <w:p w:rsidR="00B31F19" w:rsidRDefault="00E172B5" w:rsidP="00E172B5">
      <w:pPr>
        <w:pStyle w:val="TitleShort"/>
      </w:pPr>
      <w:r w:rsidRPr="00E172B5">
        <w:t>APPLICATIONS TO THE AGED CARE PRICING COMMISSIONER FOR ACCOMMODATION PRICES THAT ARE HIGHER THAN THE MAXIMUM AMOUNT DETERMINED BY THE MINISTER</w:t>
      </w:r>
      <w:bookmarkStart w:id="2" w:name="CoversheetFirstPage"/>
    </w:p>
    <w:p w:rsidR="00E172B5" w:rsidRDefault="00E172B5" w:rsidP="00E172B5">
      <w:pPr>
        <w:pStyle w:val="TitleShort"/>
        <w:ind w:left="0"/>
        <w:rPr>
          <w:color w:val="993300"/>
          <w:sz w:val="28"/>
        </w:rPr>
        <w:sectPr w:rsidR="00E172B5" w:rsidSect="00B31F19">
          <w:headerReference w:type="default" r:id="rId10"/>
          <w:footerReference w:type="even" r:id="rId11"/>
          <w:pgSz w:w="11899" w:h="16838"/>
          <w:pgMar w:top="1134" w:right="1701" w:bottom="1134" w:left="1701" w:header="720" w:footer="720" w:gutter="0"/>
          <w:cols w:space="708"/>
        </w:sectPr>
      </w:pPr>
    </w:p>
    <w:p w:rsidR="00B31F19" w:rsidRPr="00605EA5" w:rsidRDefault="00B31F19" w:rsidP="00605EA5">
      <w:pPr>
        <w:pStyle w:val="Heading2"/>
      </w:pPr>
      <w:bookmarkStart w:id="3" w:name="_Toc380153541"/>
      <w:bookmarkEnd w:id="2"/>
      <w:r w:rsidRPr="00605EA5">
        <w:lastRenderedPageBreak/>
        <w:t>Contents</w:t>
      </w:r>
      <w:bookmarkEnd w:id="3"/>
    </w:p>
    <w:p w:rsidR="008613AE" w:rsidRPr="008613AE" w:rsidRDefault="006420DF">
      <w:pPr>
        <w:pStyle w:val="TOC1"/>
        <w:rPr>
          <w:rFonts w:ascii="Arial" w:eastAsiaTheme="minorEastAsia" w:hAnsi="Arial" w:cs="Arial"/>
          <w:szCs w:val="22"/>
          <w:lang w:eastAsia="en-AU"/>
        </w:rPr>
      </w:pPr>
      <w:r w:rsidRPr="008613AE">
        <w:rPr>
          <w:rFonts w:ascii="Arial" w:hAnsi="Arial" w:cs="Arial"/>
          <w:i/>
          <w:szCs w:val="22"/>
        </w:rPr>
        <w:fldChar w:fldCharType="begin"/>
      </w:r>
      <w:r w:rsidRPr="008613AE">
        <w:rPr>
          <w:rFonts w:ascii="Arial" w:hAnsi="Arial" w:cs="Arial"/>
          <w:i/>
          <w:szCs w:val="22"/>
        </w:rPr>
        <w:instrText xml:space="preserve"> TOC \o "1-3" </w:instrText>
      </w:r>
      <w:r w:rsidRPr="008613AE">
        <w:rPr>
          <w:rFonts w:ascii="Arial" w:hAnsi="Arial" w:cs="Arial"/>
          <w:i/>
          <w:szCs w:val="22"/>
        </w:rPr>
        <w:fldChar w:fldCharType="separate"/>
      </w:r>
      <w:r w:rsidR="008613AE" w:rsidRPr="008613AE">
        <w:rPr>
          <w:rFonts w:ascii="Arial" w:hAnsi="Arial" w:cs="Arial"/>
          <w:szCs w:val="22"/>
        </w:rPr>
        <w:t>ASSESSOR MANUAL</w:t>
      </w:r>
      <w:r w:rsidR="008613AE" w:rsidRPr="008613AE">
        <w:rPr>
          <w:rFonts w:ascii="Arial" w:hAnsi="Arial" w:cs="Arial"/>
          <w:szCs w:val="22"/>
        </w:rPr>
        <w:tab/>
      </w:r>
      <w:r w:rsidR="008613AE" w:rsidRPr="008613AE">
        <w:rPr>
          <w:rFonts w:ascii="Arial" w:hAnsi="Arial" w:cs="Arial"/>
          <w:szCs w:val="22"/>
        </w:rPr>
        <w:fldChar w:fldCharType="begin"/>
      </w:r>
      <w:r w:rsidR="008613AE" w:rsidRPr="008613AE">
        <w:rPr>
          <w:rFonts w:ascii="Arial" w:hAnsi="Arial" w:cs="Arial"/>
          <w:szCs w:val="22"/>
        </w:rPr>
        <w:instrText xml:space="preserve"> PAGEREF _Toc380153540 \h </w:instrText>
      </w:r>
      <w:r w:rsidR="008613AE" w:rsidRPr="008613AE">
        <w:rPr>
          <w:rFonts w:ascii="Arial" w:hAnsi="Arial" w:cs="Arial"/>
          <w:szCs w:val="22"/>
        </w:rPr>
      </w:r>
      <w:r w:rsidR="008613AE" w:rsidRPr="008613AE">
        <w:rPr>
          <w:rFonts w:ascii="Arial" w:hAnsi="Arial" w:cs="Arial"/>
          <w:szCs w:val="22"/>
        </w:rPr>
        <w:fldChar w:fldCharType="separate"/>
      </w:r>
      <w:r w:rsidR="00500CA4">
        <w:rPr>
          <w:rFonts w:ascii="Arial" w:hAnsi="Arial" w:cs="Arial"/>
          <w:szCs w:val="22"/>
        </w:rPr>
        <w:t>1</w:t>
      </w:r>
      <w:r w:rsidR="008613AE" w:rsidRPr="008613AE">
        <w:rPr>
          <w:rFonts w:ascii="Arial" w:hAnsi="Arial" w:cs="Arial"/>
          <w:szCs w:val="22"/>
        </w:rPr>
        <w:fldChar w:fldCharType="end"/>
      </w:r>
    </w:p>
    <w:p w:rsidR="008613AE" w:rsidRPr="008613AE" w:rsidRDefault="008613AE">
      <w:pPr>
        <w:pStyle w:val="TOC2"/>
        <w:rPr>
          <w:rFonts w:ascii="Arial" w:eastAsiaTheme="minorEastAsia" w:hAnsi="Arial" w:cs="Arial"/>
          <w:i w:val="0"/>
          <w:sz w:val="22"/>
          <w:szCs w:val="22"/>
          <w:lang w:eastAsia="en-AU"/>
        </w:rPr>
      </w:pPr>
      <w:r w:rsidRPr="008613AE">
        <w:rPr>
          <w:rFonts w:ascii="Arial" w:hAnsi="Arial" w:cs="Arial"/>
          <w:sz w:val="22"/>
          <w:szCs w:val="22"/>
        </w:rPr>
        <w:t>Contents</w:t>
      </w:r>
      <w:r w:rsidRPr="008613AE">
        <w:rPr>
          <w:rFonts w:ascii="Arial" w:hAnsi="Arial" w:cs="Arial"/>
          <w:sz w:val="22"/>
          <w:szCs w:val="22"/>
        </w:rPr>
        <w:tab/>
      </w:r>
      <w:r w:rsidRPr="008613AE">
        <w:rPr>
          <w:rFonts w:ascii="Arial" w:hAnsi="Arial" w:cs="Arial"/>
          <w:sz w:val="22"/>
          <w:szCs w:val="22"/>
        </w:rPr>
        <w:fldChar w:fldCharType="begin"/>
      </w:r>
      <w:r w:rsidRPr="008613AE">
        <w:rPr>
          <w:rFonts w:ascii="Arial" w:hAnsi="Arial" w:cs="Arial"/>
          <w:sz w:val="22"/>
          <w:szCs w:val="22"/>
        </w:rPr>
        <w:instrText xml:space="preserve"> PAGEREF _Toc380153541 \h </w:instrText>
      </w:r>
      <w:r w:rsidRPr="008613AE">
        <w:rPr>
          <w:rFonts w:ascii="Arial" w:hAnsi="Arial" w:cs="Arial"/>
          <w:sz w:val="22"/>
          <w:szCs w:val="22"/>
        </w:rPr>
      </w:r>
      <w:r w:rsidRPr="008613AE">
        <w:rPr>
          <w:rFonts w:ascii="Arial" w:hAnsi="Arial" w:cs="Arial"/>
          <w:sz w:val="22"/>
          <w:szCs w:val="22"/>
        </w:rPr>
        <w:fldChar w:fldCharType="separate"/>
      </w:r>
      <w:r w:rsidR="00500CA4">
        <w:rPr>
          <w:rFonts w:ascii="Arial" w:hAnsi="Arial" w:cs="Arial"/>
          <w:sz w:val="22"/>
          <w:szCs w:val="22"/>
        </w:rPr>
        <w:t>2</w:t>
      </w:r>
      <w:r w:rsidRPr="008613AE">
        <w:rPr>
          <w:rFonts w:ascii="Arial" w:hAnsi="Arial" w:cs="Arial"/>
          <w:sz w:val="22"/>
          <w:szCs w:val="22"/>
        </w:rPr>
        <w:fldChar w:fldCharType="end"/>
      </w:r>
    </w:p>
    <w:p w:rsidR="008613AE" w:rsidRPr="008613AE" w:rsidRDefault="008613AE">
      <w:pPr>
        <w:pStyle w:val="TOC3"/>
        <w:rPr>
          <w:rFonts w:eastAsiaTheme="minorEastAsia" w:cs="Arial"/>
          <w:sz w:val="22"/>
          <w:szCs w:val="22"/>
          <w:lang w:eastAsia="en-AU"/>
        </w:rPr>
      </w:pPr>
      <w:r w:rsidRPr="008613AE">
        <w:rPr>
          <w:rFonts w:cs="Arial"/>
          <w:sz w:val="22"/>
          <w:szCs w:val="22"/>
        </w:rPr>
        <w:t>Introduction and guiding considerations</w:t>
      </w:r>
      <w:r w:rsidRPr="008613AE">
        <w:rPr>
          <w:rFonts w:cs="Arial"/>
          <w:sz w:val="22"/>
          <w:szCs w:val="22"/>
        </w:rPr>
        <w:tab/>
      </w:r>
      <w:r w:rsidRPr="008613AE">
        <w:rPr>
          <w:rFonts w:cs="Arial"/>
          <w:sz w:val="22"/>
          <w:szCs w:val="22"/>
        </w:rPr>
        <w:fldChar w:fldCharType="begin"/>
      </w:r>
      <w:r w:rsidRPr="008613AE">
        <w:rPr>
          <w:rFonts w:cs="Arial"/>
          <w:sz w:val="22"/>
          <w:szCs w:val="22"/>
        </w:rPr>
        <w:instrText xml:space="preserve"> PAGEREF _Toc380153542 \h </w:instrText>
      </w:r>
      <w:r w:rsidRPr="008613AE">
        <w:rPr>
          <w:rFonts w:cs="Arial"/>
          <w:sz w:val="22"/>
          <w:szCs w:val="22"/>
        </w:rPr>
      </w:r>
      <w:r w:rsidRPr="008613AE">
        <w:rPr>
          <w:rFonts w:cs="Arial"/>
          <w:sz w:val="22"/>
          <w:szCs w:val="22"/>
        </w:rPr>
        <w:fldChar w:fldCharType="separate"/>
      </w:r>
      <w:r w:rsidR="00500CA4">
        <w:rPr>
          <w:rFonts w:cs="Arial"/>
          <w:sz w:val="22"/>
          <w:szCs w:val="22"/>
        </w:rPr>
        <w:t>3</w:t>
      </w:r>
      <w:r w:rsidRPr="008613AE">
        <w:rPr>
          <w:rFonts w:cs="Arial"/>
          <w:sz w:val="22"/>
          <w:szCs w:val="22"/>
        </w:rPr>
        <w:fldChar w:fldCharType="end"/>
      </w:r>
    </w:p>
    <w:p w:rsidR="008613AE" w:rsidRPr="008613AE" w:rsidRDefault="008613AE">
      <w:pPr>
        <w:pStyle w:val="TOC3"/>
        <w:rPr>
          <w:rFonts w:eastAsiaTheme="minorEastAsia" w:cs="Arial"/>
          <w:sz w:val="22"/>
          <w:szCs w:val="22"/>
          <w:lang w:eastAsia="en-AU"/>
        </w:rPr>
      </w:pPr>
      <w:r w:rsidRPr="008613AE">
        <w:rPr>
          <w:rFonts w:cs="Arial"/>
          <w:sz w:val="22"/>
          <w:szCs w:val="22"/>
        </w:rPr>
        <w:t>Preliminary application and assessment processes</w:t>
      </w:r>
      <w:r w:rsidRPr="008613AE">
        <w:rPr>
          <w:rFonts w:cs="Arial"/>
          <w:sz w:val="22"/>
          <w:szCs w:val="22"/>
        </w:rPr>
        <w:tab/>
      </w:r>
      <w:r w:rsidRPr="008613AE">
        <w:rPr>
          <w:rFonts w:cs="Arial"/>
          <w:sz w:val="22"/>
          <w:szCs w:val="22"/>
        </w:rPr>
        <w:fldChar w:fldCharType="begin"/>
      </w:r>
      <w:r w:rsidRPr="008613AE">
        <w:rPr>
          <w:rFonts w:cs="Arial"/>
          <w:sz w:val="22"/>
          <w:szCs w:val="22"/>
        </w:rPr>
        <w:instrText xml:space="preserve"> PAGEREF _Toc380153543 \h </w:instrText>
      </w:r>
      <w:r w:rsidRPr="008613AE">
        <w:rPr>
          <w:rFonts w:cs="Arial"/>
          <w:sz w:val="22"/>
          <w:szCs w:val="22"/>
        </w:rPr>
      </w:r>
      <w:r w:rsidRPr="008613AE">
        <w:rPr>
          <w:rFonts w:cs="Arial"/>
          <w:sz w:val="22"/>
          <w:szCs w:val="22"/>
        </w:rPr>
        <w:fldChar w:fldCharType="separate"/>
      </w:r>
      <w:r w:rsidR="00500CA4">
        <w:rPr>
          <w:rFonts w:cs="Arial"/>
          <w:sz w:val="22"/>
          <w:szCs w:val="22"/>
        </w:rPr>
        <w:t>4</w:t>
      </w:r>
      <w:r w:rsidRPr="008613AE">
        <w:rPr>
          <w:rFonts w:cs="Arial"/>
          <w:sz w:val="22"/>
          <w:szCs w:val="22"/>
        </w:rPr>
        <w:fldChar w:fldCharType="end"/>
      </w:r>
    </w:p>
    <w:p w:rsidR="008613AE" w:rsidRPr="008613AE" w:rsidRDefault="008613AE">
      <w:pPr>
        <w:pStyle w:val="TOC3"/>
        <w:rPr>
          <w:rFonts w:eastAsiaTheme="minorEastAsia" w:cs="Arial"/>
          <w:sz w:val="22"/>
          <w:szCs w:val="22"/>
          <w:lang w:eastAsia="en-AU"/>
        </w:rPr>
      </w:pPr>
      <w:r w:rsidRPr="008613AE">
        <w:rPr>
          <w:rFonts w:cs="Arial"/>
          <w:sz w:val="22"/>
          <w:szCs w:val="22"/>
        </w:rPr>
        <w:t>Benchmark comparison</w:t>
      </w:r>
      <w:r w:rsidRPr="008613AE">
        <w:rPr>
          <w:rFonts w:cs="Arial"/>
          <w:sz w:val="22"/>
          <w:szCs w:val="22"/>
        </w:rPr>
        <w:tab/>
      </w:r>
      <w:r w:rsidRPr="008613AE">
        <w:rPr>
          <w:rFonts w:cs="Arial"/>
          <w:sz w:val="22"/>
          <w:szCs w:val="22"/>
        </w:rPr>
        <w:fldChar w:fldCharType="begin"/>
      </w:r>
      <w:r w:rsidRPr="008613AE">
        <w:rPr>
          <w:rFonts w:cs="Arial"/>
          <w:sz w:val="22"/>
          <w:szCs w:val="22"/>
        </w:rPr>
        <w:instrText xml:space="preserve"> PAGEREF _Toc380153544 \h </w:instrText>
      </w:r>
      <w:r w:rsidRPr="008613AE">
        <w:rPr>
          <w:rFonts w:cs="Arial"/>
          <w:sz w:val="22"/>
          <w:szCs w:val="22"/>
        </w:rPr>
      </w:r>
      <w:r w:rsidRPr="008613AE">
        <w:rPr>
          <w:rFonts w:cs="Arial"/>
          <w:sz w:val="22"/>
          <w:szCs w:val="22"/>
        </w:rPr>
        <w:fldChar w:fldCharType="separate"/>
      </w:r>
      <w:r w:rsidR="00500CA4">
        <w:rPr>
          <w:rFonts w:cs="Arial"/>
          <w:sz w:val="22"/>
          <w:szCs w:val="22"/>
        </w:rPr>
        <w:t>9</w:t>
      </w:r>
      <w:r w:rsidRPr="008613AE">
        <w:rPr>
          <w:rFonts w:cs="Arial"/>
          <w:sz w:val="22"/>
          <w:szCs w:val="22"/>
        </w:rPr>
        <w:fldChar w:fldCharType="end"/>
      </w:r>
    </w:p>
    <w:p w:rsidR="008613AE" w:rsidRPr="008613AE" w:rsidRDefault="008613AE">
      <w:pPr>
        <w:pStyle w:val="TOC3"/>
        <w:rPr>
          <w:rFonts w:eastAsiaTheme="minorEastAsia" w:cs="Arial"/>
          <w:sz w:val="22"/>
          <w:szCs w:val="22"/>
          <w:lang w:eastAsia="en-AU"/>
        </w:rPr>
      </w:pPr>
      <w:r w:rsidRPr="008613AE">
        <w:rPr>
          <w:rFonts w:cs="Arial"/>
          <w:sz w:val="22"/>
          <w:szCs w:val="22"/>
        </w:rPr>
        <w:t>Median house price and historical bond level benchmarks</w:t>
      </w:r>
      <w:r w:rsidRPr="008613AE">
        <w:rPr>
          <w:rFonts w:cs="Arial"/>
          <w:sz w:val="22"/>
          <w:szCs w:val="22"/>
        </w:rPr>
        <w:tab/>
      </w:r>
      <w:r w:rsidRPr="008613AE">
        <w:rPr>
          <w:rFonts w:cs="Arial"/>
          <w:sz w:val="22"/>
          <w:szCs w:val="22"/>
        </w:rPr>
        <w:fldChar w:fldCharType="begin"/>
      </w:r>
      <w:r w:rsidRPr="008613AE">
        <w:rPr>
          <w:rFonts w:cs="Arial"/>
          <w:sz w:val="22"/>
          <w:szCs w:val="22"/>
        </w:rPr>
        <w:instrText xml:space="preserve"> PAGEREF _Toc380153545 \h </w:instrText>
      </w:r>
      <w:r w:rsidRPr="008613AE">
        <w:rPr>
          <w:rFonts w:cs="Arial"/>
          <w:sz w:val="22"/>
          <w:szCs w:val="22"/>
        </w:rPr>
      </w:r>
      <w:r w:rsidRPr="008613AE">
        <w:rPr>
          <w:rFonts w:cs="Arial"/>
          <w:sz w:val="22"/>
          <w:szCs w:val="22"/>
        </w:rPr>
        <w:fldChar w:fldCharType="separate"/>
      </w:r>
      <w:r w:rsidR="00500CA4">
        <w:rPr>
          <w:rFonts w:cs="Arial"/>
          <w:sz w:val="22"/>
          <w:szCs w:val="22"/>
        </w:rPr>
        <w:t>9</w:t>
      </w:r>
      <w:r w:rsidRPr="008613AE">
        <w:rPr>
          <w:rFonts w:cs="Arial"/>
          <w:sz w:val="22"/>
          <w:szCs w:val="22"/>
        </w:rPr>
        <w:fldChar w:fldCharType="end"/>
      </w:r>
    </w:p>
    <w:p w:rsidR="008613AE" w:rsidRPr="008613AE" w:rsidRDefault="008613AE">
      <w:pPr>
        <w:pStyle w:val="TOC3"/>
        <w:rPr>
          <w:rFonts w:eastAsiaTheme="minorEastAsia" w:cs="Arial"/>
          <w:sz w:val="22"/>
          <w:szCs w:val="22"/>
          <w:lang w:eastAsia="en-AU"/>
        </w:rPr>
      </w:pPr>
      <w:r w:rsidRPr="008613AE">
        <w:rPr>
          <w:rFonts w:cs="Arial"/>
          <w:sz w:val="22"/>
          <w:szCs w:val="22"/>
        </w:rPr>
        <w:t>Financial data</w:t>
      </w:r>
      <w:r w:rsidRPr="008613AE">
        <w:rPr>
          <w:rFonts w:cs="Arial"/>
          <w:sz w:val="22"/>
          <w:szCs w:val="22"/>
        </w:rPr>
        <w:tab/>
      </w:r>
      <w:r w:rsidRPr="008613AE">
        <w:rPr>
          <w:rFonts w:cs="Arial"/>
          <w:sz w:val="22"/>
          <w:szCs w:val="22"/>
        </w:rPr>
        <w:fldChar w:fldCharType="begin"/>
      </w:r>
      <w:r w:rsidRPr="008613AE">
        <w:rPr>
          <w:rFonts w:cs="Arial"/>
          <w:sz w:val="22"/>
          <w:szCs w:val="22"/>
        </w:rPr>
        <w:instrText xml:space="preserve"> PAGEREF _Toc380153546 \h </w:instrText>
      </w:r>
      <w:r w:rsidRPr="008613AE">
        <w:rPr>
          <w:rFonts w:cs="Arial"/>
          <w:sz w:val="22"/>
          <w:szCs w:val="22"/>
        </w:rPr>
      </w:r>
      <w:r w:rsidRPr="008613AE">
        <w:rPr>
          <w:rFonts w:cs="Arial"/>
          <w:sz w:val="22"/>
          <w:szCs w:val="22"/>
        </w:rPr>
        <w:fldChar w:fldCharType="separate"/>
      </w:r>
      <w:r w:rsidR="00500CA4">
        <w:rPr>
          <w:rFonts w:cs="Arial"/>
          <w:sz w:val="22"/>
          <w:szCs w:val="22"/>
        </w:rPr>
        <w:t>10</w:t>
      </w:r>
      <w:r w:rsidRPr="008613AE">
        <w:rPr>
          <w:rFonts w:cs="Arial"/>
          <w:sz w:val="22"/>
          <w:szCs w:val="22"/>
        </w:rPr>
        <w:fldChar w:fldCharType="end"/>
      </w:r>
    </w:p>
    <w:p w:rsidR="008613AE" w:rsidRPr="008613AE" w:rsidRDefault="008613AE">
      <w:pPr>
        <w:pStyle w:val="TOC3"/>
        <w:rPr>
          <w:rFonts w:eastAsiaTheme="minorEastAsia" w:cs="Arial"/>
          <w:sz w:val="22"/>
          <w:szCs w:val="22"/>
          <w:lang w:eastAsia="en-AU"/>
        </w:rPr>
      </w:pPr>
      <w:r w:rsidRPr="008613AE">
        <w:rPr>
          <w:rFonts w:cs="Arial"/>
          <w:sz w:val="22"/>
          <w:szCs w:val="22"/>
        </w:rPr>
        <w:t>Business model considerations</w:t>
      </w:r>
      <w:r w:rsidRPr="008613AE">
        <w:rPr>
          <w:rFonts w:cs="Arial"/>
          <w:sz w:val="22"/>
          <w:szCs w:val="22"/>
        </w:rPr>
        <w:tab/>
      </w:r>
      <w:r w:rsidRPr="008613AE">
        <w:rPr>
          <w:rFonts w:cs="Arial"/>
          <w:sz w:val="22"/>
          <w:szCs w:val="22"/>
        </w:rPr>
        <w:fldChar w:fldCharType="begin"/>
      </w:r>
      <w:r w:rsidRPr="008613AE">
        <w:rPr>
          <w:rFonts w:cs="Arial"/>
          <w:sz w:val="22"/>
          <w:szCs w:val="22"/>
        </w:rPr>
        <w:instrText xml:space="preserve"> PAGEREF _Toc380153547 \h </w:instrText>
      </w:r>
      <w:r w:rsidRPr="008613AE">
        <w:rPr>
          <w:rFonts w:cs="Arial"/>
          <w:sz w:val="22"/>
          <w:szCs w:val="22"/>
        </w:rPr>
      </w:r>
      <w:r w:rsidRPr="008613AE">
        <w:rPr>
          <w:rFonts w:cs="Arial"/>
          <w:sz w:val="22"/>
          <w:szCs w:val="22"/>
        </w:rPr>
        <w:fldChar w:fldCharType="separate"/>
      </w:r>
      <w:r w:rsidR="00500CA4">
        <w:rPr>
          <w:rFonts w:cs="Arial"/>
          <w:sz w:val="22"/>
          <w:szCs w:val="22"/>
        </w:rPr>
        <w:t>10</w:t>
      </w:r>
      <w:r w:rsidRPr="008613AE">
        <w:rPr>
          <w:rFonts w:cs="Arial"/>
          <w:sz w:val="22"/>
          <w:szCs w:val="22"/>
        </w:rPr>
        <w:fldChar w:fldCharType="end"/>
      </w:r>
    </w:p>
    <w:p w:rsidR="008613AE" w:rsidRPr="008613AE" w:rsidRDefault="008613AE">
      <w:pPr>
        <w:pStyle w:val="TOC3"/>
        <w:rPr>
          <w:rFonts w:eastAsiaTheme="minorEastAsia" w:cs="Arial"/>
          <w:sz w:val="22"/>
          <w:szCs w:val="22"/>
          <w:lang w:eastAsia="en-AU"/>
        </w:rPr>
      </w:pPr>
      <w:r w:rsidRPr="008613AE">
        <w:rPr>
          <w:rFonts w:cs="Arial"/>
          <w:sz w:val="22"/>
          <w:szCs w:val="22"/>
        </w:rPr>
        <w:t>Cost of supply considerations</w:t>
      </w:r>
      <w:r w:rsidRPr="008613AE">
        <w:rPr>
          <w:rFonts w:cs="Arial"/>
          <w:sz w:val="22"/>
          <w:szCs w:val="22"/>
        </w:rPr>
        <w:tab/>
      </w:r>
      <w:r w:rsidRPr="008613AE">
        <w:rPr>
          <w:rFonts w:cs="Arial"/>
          <w:sz w:val="22"/>
          <w:szCs w:val="22"/>
        </w:rPr>
        <w:fldChar w:fldCharType="begin"/>
      </w:r>
      <w:r w:rsidRPr="008613AE">
        <w:rPr>
          <w:rFonts w:cs="Arial"/>
          <w:sz w:val="22"/>
          <w:szCs w:val="22"/>
        </w:rPr>
        <w:instrText xml:space="preserve"> PAGEREF _Toc380153548 \h </w:instrText>
      </w:r>
      <w:r w:rsidRPr="008613AE">
        <w:rPr>
          <w:rFonts w:cs="Arial"/>
          <w:sz w:val="22"/>
          <w:szCs w:val="22"/>
        </w:rPr>
      </w:r>
      <w:r w:rsidRPr="008613AE">
        <w:rPr>
          <w:rFonts w:cs="Arial"/>
          <w:sz w:val="22"/>
          <w:szCs w:val="22"/>
        </w:rPr>
        <w:fldChar w:fldCharType="separate"/>
      </w:r>
      <w:r w:rsidR="00500CA4">
        <w:rPr>
          <w:rFonts w:cs="Arial"/>
          <w:sz w:val="22"/>
          <w:szCs w:val="22"/>
        </w:rPr>
        <w:t>11</w:t>
      </w:r>
      <w:r w:rsidRPr="008613AE">
        <w:rPr>
          <w:rFonts w:cs="Arial"/>
          <w:sz w:val="22"/>
          <w:szCs w:val="22"/>
        </w:rPr>
        <w:fldChar w:fldCharType="end"/>
      </w:r>
    </w:p>
    <w:p w:rsidR="008613AE" w:rsidRPr="008613AE" w:rsidRDefault="008613AE">
      <w:pPr>
        <w:pStyle w:val="TOC3"/>
        <w:rPr>
          <w:rFonts w:eastAsiaTheme="minorEastAsia" w:cs="Arial"/>
          <w:sz w:val="22"/>
          <w:szCs w:val="22"/>
          <w:lang w:eastAsia="en-AU"/>
        </w:rPr>
      </w:pPr>
      <w:r w:rsidRPr="008613AE">
        <w:rPr>
          <w:rFonts w:cs="Arial"/>
          <w:sz w:val="22"/>
          <w:szCs w:val="22"/>
        </w:rPr>
        <w:t>Quality, condition and amenity considerations</w:t>
      </w:r>
      <w:r w:rsidRPr="008613AE">
        <w:rPr>
          <w:rFonts w:cs="Arial"/>
          <w:sz w:val="22"/>
          <w:szCs w:val="22"/>
        </w:rPr>
        <w:tab/>
      </w:r>
      <w:r w:rsidRPr="008613AE">
        <w:rPr>
          <w:rFonts w:cs="Arial"/>
          <w:sz w:val="22"/>
          <w:szCs w:val="22"/>
        </w:rPr>
        <w:fldChar w:fldCharType="begin"/>
      </w:r>
      <w:r w:rsidRPr="008613AE">
        <w:rPr>
          <w:rFonts w:cs="Arial"/>
          <w:sz w:val="22"/>
          <w:szCs w:val="22"/>
        </w:rPr>
        <w:instrText xml:space="preserve"> PAGEREF _Toc380153549 \h </w:instrText>
      </w:r>
      <w:r w:rsidRPr="008613AE">
        <w:rPr>
          <w:rFonts w:cs="Arial"/>
          <w:sz w:val="22"/>
          <w:szCs w:val="22"/>
        </w:rPr>
      </w:r>
      <w:r w:rsidRPr="008613AE">
        <w:rPr>
          <w:rFonts w:cs="Arial"/>
          <w:sz w:val="22"/>
          <w:szCs w:val="22"/>
        </w:rPr>
        <w:fldChar w:fldCharType="separate"/>
      </w:r>
      <w:r w:rsidR="00500CA4">
        <w:rPr>
          <w:rFonts w:cs="Arial"/>
          <w:sz w:val="22"/>
          <w:szCs w:val="22"/>
        </w:rPr>
        <w:t>12</w:t>
      </w:r>
      <w:r w:rsidRPr="008613AE">
        <w:rPr>
          <w:rFonts w:cs="Arial"/>
          <w:sz w:val="22"/>
          <w:szCs w:val="22"/>
        </w:rPr>
        <w:fldChar w:fldCharType="end"/>
      </w:r>
    </w:p>
    <w:p w:rsidR="008613AE" w:rsidRPr="008613AE" w:rsidRDefault="008613AE">
      <w:pPr>
        <w:pStyle w:val="TOC3"/>
        <w:rPr>
          <w:rFonts w:eastAsiaTheme="minorEastAsia" w:cs="Arial"/>
          <w:sz w:val="22"/>
          <w:szCs w:val="22"/>
          <w:lang w:eastAsia="en-AU"/>
        </w:rPr>
      </w:pPr>
      <w:r w:rsidRPr="008613AE">
        <w:rPr>
          <w:rFonts w:cs="Arial"/>
          <w:sz w:val="22"/>
          <w:szCs w:val="22"/>
        </w:rPr>
        <w:t>Assessment of information to justify a proposed price</w:t>
      </w:r>
      <w:r w:rsidRPr="008613AE">
        <w:rPr>
          <w:rFonts w:cs="Arial"/>
          <w:sz w:val="22"/>
          <w:szCs w:val="22"/>
        </w:rPr>
        <w:tab/>
      </w:r>
      <w:r w:rsidRPr="008613AE">
        <w:rPr>
          <w:rFonts w:cs="Arial"/>
          <w:sz w:val="22"/>
          <w:szCs w:val="22"/>
        </w:rPr>
        <w:fldChar w:fldCharType="begin"/>
      </w:r>
      <w:r w:rsidRPr="008613AE">
        <w:rPr>
          <w:rFonts w:cs="Arial"/>
          <w:sz w:val="22"/>
          <w:szCs w:val="22"/>
        </w:rPr>
        <w:instrText xml:space="preserve"> PAGEREF _Toc380153550 \h </w:instrText>
      </w:r>
      <w:r w:rsidRPr="008613AE">
        <w:rPr>
          <w:rFonts w:cs="Arial"/>
          <w:sz w:val="22"/>
          <w:szCs w:val="22"/>
        </w:rPr>
      </w:r>
      <w:r w:rsidRPr="008613AE">
        <w:rPr>
          <w:rFonts w:cs="Arial"/>
          <w:sz w:val="22"/>
          <w:szCs w:val="22"/>
        </w:rPr>
        <w:fldChar w:fldCharType="separate"/>
      </w:r>
      <w:r w:rsidR="00500CA4">
        <w:rPr>
          <w:rFonts w:cs="Arial"/>
          <w:sz w:val="22"/>
          <w:szCs w:val="22"/>
        </w:rPr>
        <w:t>13</w:t>
      </w:r>
      <w:r w:rsidRPr="008613AE">
        <w:rPr>
          <w:rFonts w:cs="Arial"/>
          <w:sz w:val="22"/>
          <w:szCs w:val="22"/>
        </w:rPr>
        <w:fldChar w:fldCharType="end"/>
      </w:r>
    </w:p>
    <w:p w:rsidR="008613AE" w:rsidRPr="008613AE" w:rsidRDefault="008613AE">
      <w:pPr>
        <w:pStyle w:val="TOC3"/>
        <w:rPr>
          <w:rFonts w:eastAsiaTheme="minorEastAsia" w:cs="Arial"/>
          <w:sz w:val="22"/>
          <w:szCs w:val="22"/>
          <w:lang w:eastAsia="en-AU"/>
        </w:rPr>
      </w:pPr>
      <w:r w:rsidRPr="008613AE">
        <w:rPr>
          <w:rFonts w:cs="Arial"/>
          <w:sz w:val="22"/>
          <w:szCs w:val="22"/>
        </w:rPr>
        <w:t>Assessment outcome</w:t>
      </w:r>
      <w:r w:rsidRPr="008613AE">
        <w:rPr>
          <w:rFonts w:cs="Arial"/>
          <w:sz w:val="22"/>
          <w:szCs w:val="22"/>
        </w:rPr>
        <w:tab/>
      </w:r>
      <w:r w:rsidRPr="008613AE">
        <w:rPr>
          <w:rFonts w:cs="Arial"/>
          <w:sz w:val="22"/>
          <w:szCs w:val="22"/>
        </w:rPr>
        <w:fldChar w:fldCharType="begin"/>
      </w:r>
      <w:r w:rsidRPr="008613AE">
        <w:rPr>
          <w:rFonts w:cs="Arial"/>
          <w:sz w:val="22"/>
          <w:szCs w:val="22"/>
        </w:rPr>
        <w:instrText xml:space="preserve"> PAGEREF _Toc380153551 \h </w:instrText>
      </w:r>
      <w:r w:rsidRPr="008613AE">
        <w:rPr>
          <w:rFonts w:cs="Arial"/>
          <w:sz w:val="22"/>
          <w:szCs w:val="22"/>
        </w:rPr>
      </w:r>
      <w:r w:rsidRPr="008613AE">
        <w:rPr>
          <w:rFonts w:cs="Arial"/>
          <w:sz w:val="22"/>
          <w:szCs w:val="22"/>
        </w:rPr>
        <w:fldChar w:fldCharType="separate"/>
      </w:r>
      <w:r w:rsidR="00500CA4">
        <w:rPr>
          <w:rFonts w:cs="Arial"/>
          <w:sz w:val="22"/>
          <w:szCs w:val="22"/>
        </w:rPr>
        <w:t>13</w:t>
      </w:r>
      <w:r w:rsidRPr="008613AE">
        <w:rPr>
          <w:rFonts w:cs="Arial"/>
          <w:sz w:val="22"/>
          <w:szCs w:val="22"/>
        </w:rPr>
        <w:fldChar w:fldCharType="end"/>
      </w:r>
    </w:p>
    <w:p w:rsidR="008613AE" w:rsidRPr="008613AE" w:rsidRDefault="008613AE">
      <w:pPr>
        <w:pStyle w:val="TOC3"/>
        <w:rPr>
          <w:rFonts w:eastAsiaTheme="minorEastAsia" w:cs="Arial"/>
          <w:sz w:val="22"/>
          <w:szCs w:val="22"/>
          <w:lang w:eastAsia="en-AU"/>
        </w:rPr>
      </w:pPr>
      <w:r w:rsidRPr="008613AE">
        <w:rPr>
          <w:rFonts w:cs="Arial"/>
          <w:sz w:val="22"/>
          <w:szCs w:val="22"/>
        </w:rPr>
        <w:t>Appendix 1. Evidence for cost components</w:t>
      </w:r>
      <w:r w:rsidRPr="008613AE">
        <w:rPr>
          <w:rFonts w:cs="Arial"/>
          <w:sz w:val="22"/>
          <w:szCs w:val="22"/>
        </w:rPr>
        <w:tab/>
      </w:r>
      <w:r w:rsidRPr="008613AE">
        <w:rPr>
          <w:rFonts w:cs="Arial"/>
          <w:sz w:val="22"/>
          <w:szCs w:val="22"/>
        </w:rPr>
        <w:fldChar w:fldCharType="begin"/>
      </w:r>
      <w:r w:rsidRPr="008613AE">
        <w:rPr>
          <w:rFonts w:cs="Arial"/>
          <w:sz w:val="22"/>
          <w:szCs w:val="22"/>
        </w:rPr>
        <w:instrText xml:space="preserve"> PAGEREF _Toc380153552 \h </w:instrText>
      </w:r>
      <w:r w:rsidRPr="008613AE">
        <w:rPr>
          <w:rFonts w:cs="Arial"/>
          <w:sz w:val="22"/>
          <w:szCs w:val="22"/>
        </w:rPr>
      </w:r>
      <w:r w:rsidRPr="008613AE">
        <w:rPr>
          <w:rFonts w:cs="Arial"/>
          <w:sz w:val="22"/>
          <w:szCs w:val="22"/>
        </w:rPr>
        <w:fldChar w:fldCharType="separate"/>
      </w:r>
      <w:r w:rsidR="00500CA4">
        <w:rPr>
          <w:rFonts w:cs="Arial"/>
          <w:sz w:val="22"/>
          <w:szCs w:val="22"/>
        </w:rPr>
        <w:t>16</w:t>
      </w:r>
      <w:r w:rsidRPr="008613AE">
        <w:rPr>
          <w:rFonts w:cs="Arial"/>
          <w:sz w:val="22"/>
          <w:szCs w:val="22"/>
        </w:rPr>
        <w:fldChar w:fldCharType="end"/>
      </w:r>
    </w:p>
    <w:p w:rsidR="008613AE" w:rsidRPr="008613AE" w:rsidRDefault="008613AE">
      <w:pPr>
        <w:pStyle w:val="TOC3"/>
        <w:rPr>
          <w:rFonts w:eastAsiaTheme="minorEastAsia" w:cs="Arial"/>
          <w:sz w:val="22"/>
          <w:szCs w:val="22"/>
          <w:lang w:eastAsia="en-AU"/>
        </w:rPr>
      </w:pPr>
      <w:r w:rsidRPr="008613AE">
        <w:rPr>
          <w:rFonts w:cs="Arial"/>
          <w:sz w:val="22"/>
          <w:szCs w:val="22"/>
        </w:rPr>
        <w:t>Appendix 2. Specified Care and Services Schedule</w:t>
      </w:r>
      <w:r w:rsidRPr="008613AE">
        <w:rPr>
          <w:rFonts w:cs="Arial"/>
          <w:sz w:val="22"/>
          <w:szCs w:val="22"/>
        </w:rPr>
        <w:tab/>
      </w:r>
      <w:r w:rsidRPr="008613AE">
        <w:rPr>
          <w:rFonts w:cs="Arial"/>
          <w:sz w:val="22"/>
          <w:szCs w:val="22"/>
        </w:rPr>
        <w:fldChar w:fldCharType="begin"/>
      </w:r>
      <w:r w:rsidRPr="008613AE">
        <w:rPr>
          <w:rFonts w:cs="Arial"/>
          <w:sz w:val="22"/>
          <w:szCs w:val="22"/>
        </w:rPr>
        <w:instrText xml:space="preserve"> PAGEREF _Toc380153553 \h </w:instrText>
      </w:r>
      <w:r w:rsidRPr="008613AE">
        <w:rPr>
          <w:rFonts w:cs="Arial"/>
          <w:sz w:val="22"/>
          <w:szCs w:val="22"/>
        </w:rPr>
      </w:r>
      <w:r w:rsidRPr="008613AE">
        <w:rPr>
          <w:rFonts w:cs="Arial"/>
          <w:sz w:val="22"/>
          <w:szCs w:val="22"/>
        </w:rPr>
        <w:fldChar w:fldCharType="separate"/>
      </w:r>
      <w:r w:rsidR="00500CA4">
        <w:rPr>
          <w:rFonts w:cs="Arial"/>
          <w:sz w:val="22"/>
          <w:szCs w:val="22"/>
        </w:rPr>
        <w:t>17</w:t>
      </w:r>
      <w:r w:rsidRPr="008613AE">
        <w:rPr>
          <w:rFonts w:cs="Arial"/>
          <w:sz w:val="22"/>
          <w:szCs w:val="22"/>
        </w:rPr>
        <w:fldChar w:fldCharType="end"/>
      </w:r>
    </w:p>
    <w:p w:rsidR="00562E29" w:rsidRDefault="006420DF" w:rsidP="00562E29">
      <w:pPr>
        <w:pStyle w:val="TOC1"/>
        <w:rPr>
          <w:rFonts w:ascii="Arial" w:hAnsi="Arial" w:cs="Arial"/>
          <w:i/>
          <w:sz w:val="20"/>
        </w:rPr>
      </w:pPr>
      <w:r w:rsidRPr="008613AE">
        <w:rPr>
          <w:rFonts w:ascii="Arial" w:hAnsi="Arial" w:cs="Arial"/>
          <w:i/>
          <w:szCs w:val="22"/>
        </w:rPr>
        <w:fldChar w:fldCharType="end"/>
      </w:r>
    </w:p>
    <w:p w:rsidR="00E54A20" w:rsidRPr="0027091B" w:rsidRDefault="00562E29" w:rsidP="0027091B">
      <w:pPr>
        <w:spacing w:after="200" w:line="276" w:lineRule="auto"/>
        <w:rPr>
          <w:rFonts w:cs="Arial"/>
          <w:i/>
          <w:noProof/>
        </w:rPr>
      </w:pPr>
      <w:r>
        <w:rPr>
          <w:rFonts w:cs="Arial"/>
          <w:i/>
        </w:rPr>
        <w:br w:type="page"/>
      </w:r>
    </w:p>
    <w:p w:rsidR="00884D44" w:rsidRPr="00562E29" w:rsidRDefault="00884D44" w:rsidP="00562E29">
      <w:pPr>
        <w:pStyle w:val="Heading3"/>
      </w:pPr>
      <w:bookmarkStart w:id="4" w:name="_Toc377471335"/>
      <w:bookmarkStart w:id="5" w:name="_Toc380153542"/>
      <w:r w:rsidRPr="00562E29">
        <w:lastRenderedPageBreak/>
        <w:t xml:space="preserve">Introduction and </w:t>
      </w:r>
      <w:bookmarkEnd w:id="4"/>
      <w:r w:rsidR="00B50193" w:rsidRPr="00562E29">
        <w:t>guiding considerations</w:t>
      </w:r>
      <w:bookmarkEnd w:id="5"/>
    </w:p>
    <w:p w:rsidR="00884D44" w:rsidRPr="00B31F19" w:rsidRDefault="00884D44" w:rsidP="00884D44">
      <w:pPr>
        <w:rPr>
          <w:rFonts w:cs="Arial"/>
          <w:sz w:val="22"/>
          <w:szCs w:val="22"/>
        </w:rPr>
      </w:pPr>
    </w:p>
    <w:p w:rsidR="00884D44" w:rsidRPr="00562E29" w:rsidRDefault="00884D44" w:rsidP="00562E29">
      <w:pPr>
        <w:pStyle w:val="Heading4"/>
      </w:pPr>
      <w:bookmarkStart w:id="6" w:name="_Toc377471336"/>
      <w:r w:rsidRPr="00562E29">
        <w:t xml:space="preserve">Purpose of </w:t>
      </w:r>
      <w:r w:rsidR="00B50193" w:rsidRPr="00562E29">
        <w:t xml:space="preserve">the </w:t>
      </w:r>
      <w:r w:rsidRPr="00562E29">
        <w:t>manual</w:t>
      </w:r>
      <w:bookmarkEnd w:id="6"/>
    </w:p>
    <w:p w:rsidR="00884D44" w:rsidRPr="00B31F19" w:rsidRDefault="00884D44" w:rsidP="00884D44">
      <w:pPr>
        <w:rPr>
          <w:rFonts w:cs="Arial"/>
          <w:sz w:val="22"/>
          <w:szCs w:val="22"/>
        </w:rPr>
      </w:pPr>
    </w:p>
    <w:p w:rsidR="00884D44" w:rsidRPr="00B31F19" w:rsidRDefault="00884D44" w:rsidP="00884D44">
      <w:pPr>
        <w:rPr>
          <w:rFonts w:cs="Arial"/>
          <w:sz w:val="22"/>
          <w:szCs w:val="22"/>
        </w:rPr>
      </w:pPr>
      <w:r w:rsidRPr="00B31F19">
        <w:rPr>
          <w:rFonts w:cs="Arial"/>
          <w:sz w:val="22"/>
          <w:szCs w:val="22"/>
        </w:rPr>
        <w:t>The Assessor Manual is to guide an assessor in making a recommendation to the Aged Care Pricing Commissioner to approve or refuse to approve</w:t>
      </w:r>
      <w:r>
        <w:rPr>
          <w:rFonts w:cs="Arial"/>
          <w:sz w:val="22"/>
          <w:szCs w:val="22"/>
        </w:rPr>
        <w:t xml:space="preserve"> (refuse)</w:t>
      </w:r>
      <w:r w:rsidRPr="00B31F19">
        <w:rPr>
          <w:rFonts w:cs="Arial"/>
          <w:sz w:val="22"/>
          <w:szCs w:val="22"/>
        </w:rPr>
        <w:t xml:space="preserve"> an application for a price above the maximum amount determined by the Minister.</w:t>
      </w:r>
    </w:p>
    <w:p w:rsidR="00884D44" w:rsidRPr="00B31F19" w:rsidRDefault="00884D44" w:rsidP="00884D44">
      <w:pPr>
        <w:rPr>
          <w:rFonts w:cs="Arial"/>
          <w:sz w:val="22"/>
          <w:szCs w:val="22"/>
        </w:rPr>
      </w:pPr>
    </w:p>
    <w:p w:rsidR="00884D44" w:rsidRPr="00B31F19" w:rsidRDefault="00884D44" w:rsidP="00884D44">
      <w:pPr>
        <w:rPr>
          <w:rFonts w:cs="Arial"/>
          <w:sz w:val="22"/>
          <w:szCs w:val="22"/>
        </w:rPr>
      </w:pPr>
      <w:r w:rsidRPr="00B31F19">
        <w:rPr>
          <w:rFonts w:cs="Arial"/>
          <w:sz w:val="22"/>
          <w:szCs w:val="22"/>
        </w:rPr>
        <w:t xml:space="preserve">The Assessor Manual provides guiding </w:t>
      </w:r>
      <w:r w:rsidR="00B50193">
        <w:rPr>
          <w:rFonts w:cs="Arial"/>
          <w:sz w:val="22"/>
          <w:szCs w:val="22"/>
        </w:rPr>
        <w:t>considerations</w:t>
      </w:r>
      <w:r w:rsidRPr="00B31F19">
        <w:rPr>
          <w:rFonts w:cs="Arial"/>
          <w:sz w:val="22"/>
          <w:szCs w:val="22"/>
        </w:rPr>
        <w:t xml:space="preserve"> illustrating the methodological approach</w:t>
      </w:r>
      <w:r>
        <w:rPr>
          <w:rFonts w:cs="Arial"/>
          <w:sz w:val="22"/>
          <w:szCs w:val="22"/>
        </w:rPr>
        <w:t>,</w:t>
      </w:r>
      <w:r w:rsidRPr="00B31F19">
        <w:rPr>
          <w:rFonts w:cs="Arial"/>
          <w:sz w:val="22"/>
          <w:szCs w:val="22"/>
        </w:rPr>
        <w:t xml:space="preserve"> a step-by-step decision framework</w:t>
      </w:r>
      <w:r>
        <w:rPr>
          <w:rFonts w:cs="Arial"/>
          <w:sz w:val="22"/>
          <w:szCs w:val="22"/>
        </w:rPr>
        <w:t>,</w:t>
      </w:r>
      <w:r w:rsidRPr="00B31F19">
        <w:rPr>
          <w:rFonts w:cs="Arial"/>
          <w:sz w:val="22"/>
          <w:szCs w:val="22"/>
        </w:rPr>
        <w:t xml:space="preserve"> and instructions for submitting a recommendation to the Commissioner. </w:t>
      </w:r>
    </w:p>
    <w:p w:rsidR="008613AE" w:rsidRDefault="008613AE" w:rsidP="00562E29">
      <w:pPr>
        <w:pStyle w:val="Heading4"/>
        <w:rPr>
          <w:b w:val="0"/>
          <w:sz w:val="22"/>
          <w:szCs w:val="22"/>
        </w:rPr>
      </w:pPr>
      <w:bookmarkStart w:id="7" w:name="_Toc377471337"/>
    </w:p>
    <w:p w:rsidR="00884D44" w:rsidRPr="00B31F19" w:rsidRDefault="00B50193" w:rsidP="00562E29">
      <w:pPr>
        <w:pStyle w:val="Heading4"/>
      </w:pPr>
      <w:r>
        <w:t>Considerations</w:t>
      </w:r>
      <w:r w:rsidR="00884D44" w:rsidRPr="00B31F19">
        <w:t xml:space="preserve"> for assessment of a proposed price</w:t>
      </w:r>
      <w:bookmarkEnd w:id="7"/>
    </w:p>
    <w:p w:rsidR="00884D44" w:rsidRPr="00B31F19" w:rsidRDefault="00884D44" w:rsidP="00884D44">
      <w:pPr>
        <w:rPr>
          <w:rFonts w:cs="Arial"/>
          <w:sz w:val="22"/>
          <w:szCs w:val="22"/>
        </w:rPr>
      </w:pPr>
    </w:p>
    <w:p w:rsidR="00884D44" w:rsidRPr="00B31F19" w:rsidRDefault="00884D44" w:rsidP="00884D44">
      <w:pPr>
        <w:rPr>
          <w:rFonts w:cs="Arial"/>
          <w:sz w:val="22"/>
          <w:szCs w:val="22"/>
        </w:rPr>
      </w:pPr>
      <w:r w:rsidRPr="00B31F19">
        <w:rPr>
          <w:rFonts w:cs="Arial"/>
          <w:sz w:val="22"/>
          <w:szCs w:val="22"/>
        </w:rPr>
        <w:t>In making an assessment of a proposed price, an assessor should be guided by the following:</w:t>
      </w:r>
    </w:p>
    <w:p w:rsidR="00884D44" w:rsidRPr="00B31F19" w:rsidRDefault="00884D44" w:rsidP="00884D44">
      <w:pPr>
        <w:rPr>
          <w:rFonts w:cs="Arial"/>
          <w:sz w:val="22"/>
          <w:szCs w:val="22"/>
        </w:rPr>
      </w:pPr>
    </w:p>
    <w:p w:rsidR="00884D44" w:rsidRPr="00B31F19" w:rsidRDefault="00884D44" w:rsidP="00884D44">
      <w:pPr>
        <w:pStyle w:val="ListParagraph"/>
        <w:numPr>
          <w:ilvl w:val="0"/>
          <w:numId w:val="4"/>
        </w:numPr>
        <w:rPr>
          <w:rFonts w:cs="Arial"/>
          <w:sz w:val="22"/>
          <w:szCs w:val="22"/>
        </w:rPr>
      </w:pPr>
      <w:r w:rsidRPr="00B31F19">
        <w:rPr>
          <w:rFonts w:cs="Arial"/>
          <w:sz w:val="22"/>
          <w:szCs w:val="22"/>
        </w:rPr>
        <w:t xml:space="preserve">In respect of financial and cost considerations, the objective is to assess the degree to which the proposed price is </w:t>
      </w:r>
      <w:r w:rsidRPr="00B31F19">
        <w:rPr>
          <w:rFonts w:cs="Arial"/>
          <w:sz w:val="22"/>
          <w:szCs w:val="22"/>
          <w:u w:val="single"/>
        </w:rPr>
        <w:t>reflective of</w:t>
      </w:r>
      <w:r w:rsidRPr="00B31F19">
        <w:rPr>
          <w:rFonts w:cs="Arial"/>
          <w:sz w:val="22"/>
          <w:szCs w:val="22"/>
        </w:rPr>
        <w:t xml:space="preserve"> the cost of supply. It is assumed that applicants are not providing </w:t>
      </w:r>
      <w:r w:rsidR="00B50193">
        <w:rPr>
          <w:rFonts w:cs="Arial"/>
          <w:sz w:val="22"/>
          <w:szCs w:val="22"/>
        </w:rPr>
        <w:t>detailed</w:t>
      </w:r>
      <w:r w:rsidRPr="00B31F19">
        <w:rPr>
          <w:rFonts w:cs="Arial"/>
          <w:sz w:val="22"/>
          <w:szCs w:val="22"/>
        </w:rPr>
        <w:t xml:space="preserve"> costs of supply, but are providing key cost components which are to be evidenced and verifiable by the assessor.</w:t>
      </w:r>
      <w:r w:rsidR="007E1EF1">
        <w:rPr>
          <w:rFonts w:cs="Arial"/>
          <w:sz w:val="22"/>
          <w:szCs w:val="22"/>
        </w:rPr>
        <w:t xml:space="preserve"> In verifying costs, assessors are not seeking detailed costs such as invoices and other cost records but evidence of valuations, insured or replacement value, business cases prepared for governing bodies or for the purpose of obtaining finance, or for other purposes.</w:t>
      </w:r>
    </w:p>
    <w:p w:rsidR="00884D44" w:rsidRPr="00B31F19" w:rsidRDefault="00884D44" w:rsidP="00884D44">
      <w:pPr>
        <w:rPr>
          <w:rFonts w:cs="Arial"/>
          <w:sz w:val="22"/>
          <w:szCs w:val="22"/>
        </w:rPr>
      </w:pPr>
    </w:p>
    <w:p w:rsidR="00884D44" w:rsidRPr="00B31F19" w:rsidRDefault="00884D44" w:rsidP="00884D44">
      <w:pPr>
        <w:pStyle w:val="ListParagraph"/>
        <w:numPr>
          <w:ilvl w:val="0"/>
          <w:numId w:val="4"/>
        </w:numPr>
        <w:rPr>
          <w:rFonts w:cs="Arial"/>
          <w:sz w:val="22"/>
          <w:szCs w:val="22"/>
        </w:rPr>
      </w:pPr>
      <w:r w:rsidRPr="00B31F19">
        <w:rPr>
          <w:rFonts w:cs="Arial"/>
          <w:sz w:val="22"/>
          <w:szCs w:val="22"/>
        </w:rPr>
        <w:t>In respect of information relating to an applicant’s business model, it is assumed that applicants will have a varying set of imperatives and drivers related to pricing. Provision of a business case or narrative allows applicants the opportunity to present factors which they regard as relevant to their pricing for accommodation. In considering these factors, assessors should give due weight to those factors which are persuasive and evidenced. Where there are factors presented by an applicant which appear unusual or are not sufficiently evidenced, assessors should give consideration to seeking further information.</w:t>
      </w:r>
    </w:p>
    <w:p w:rsidR="00884D44" w:rsidRPr="00B31F19" w:rsidRDefault="00884D44" w:rsidP="00884D44">
      <w:pPr>
        <w:rPr>
          <w:rFonts w:cs="Arial"/>
          <w:sz w:val="22"/>
          <w:szCs w:val="22"/>
        </w:rPr>
      </w:pPr>
    </w:p>
    <w:p w:rsidR="00884D44" w:rsidRPr="00B31F19" w:rsidRDefault="00884D44" w:rsidP="00884D44">
      <w:pPr>
        <w:pStyle w:val="ListParagraph"/>
        <w:numPr>
          <w:ilvl w:val="0"/>
          <w:numId w:val="4"/>
        </w:numPr>
        <w:rPr>
          <w:rFonts w:cs="Arial"/>
          <w:sz w:val="22"/>
          <w:szCs w:val="22"/>
        </w:rPr>
      </w:pPr>
      <w:r w:rsidRPr="00B31F19">
        <w:rPr>
          <w:rFonts w:cs="Arial"/>
          <w:sz w:val="22"/>
          <w:szCs w:val="22"/>
        </w:rPr>
        <w:t>In respect of factors relating to quality, condition, size and amenity, assessors should evaluate whet</w:t>
      </w:r>
      <w:r w:rsidR="00B50193">
        <w:rPr>
          <w:rFonts w:cs="Arial"/>
          <w:sz w:val="22"/>
          <w:szCs w:val="22"/>
        </w:rPr>
        <w:t>her those factors collectively suggest</w:t>
      </w:r>
      <w:r w:rsidRPr="00B31F19">
        <w:rPr>
          <w:rFonts w:cs="Arial"/>
          <w:sz w:val="22"/>
          <w:szCs w:val="22"/>
        </w:rPr>
        <w:t xml:space="preserve"> accommodation of sufficient quality to justify the proposed price.</w:t>
      </w:r>
    </w:p>
    <w:p w:rsidR="00884D44" w:rsidRPr="00B31F19" w:rsidRDefault="00884D44" w:rsidP="00884D44">
      <w:pPr>
        <w:rPr>
          <w:rFonts w:cs="Arial"/>
          <w:sz w:val="22"/>
          <w:szCs w:val="22"/>
        </w:rPr>
      </w:pPr>
    </w:p>
    <w:p w:rsidR="00884D44" w:rsidRDefault="00884D44" w:rsidP="00884D44">
      <w:pPr>
        <w:pStyle w:val="ListParagraph"/>
        <w:numPr>
          <w:ilvl w:val="0"/>
          <w:numId w:val="4"/>
        </w:numPr>
        <w:rPr>
          <w:rFonts w:cs="Arial"/>
          <w:sz w:val="22"/>
          <w:szCs w:val="22"/>
        </w:rPr>
      </w:pPr>
      <w:r w:rsidRPr="00B31F19">
        <w:rPr>
          <w:rFonts w:cs="Arial"/>
          <w:sz w:val="22"/>
          <w:szCs w:val="22"/>
        </w:rPr>
        <w:t>An assessor’s conclusions should</w:t>
      </w:r>
      <w:r>
        <w:rPr>
          <w:rFonts w:cs="Arial"/>
          <w:sz w:val="22"/>
          <w:szCs w:val="22"/>
        </w:rPr>
        <w:t xml:space="preserve"> where relevant take into account industry</w:t>
      </w:r>
      <w:r w:rsidR="0003595E">
        <w:rPr>
          <w:rFonts w:cs="Arial"/>
          <w:sz w:val="22"/>
          <w:szCs w:val="22"/>
        </w:rPr>
        <w:t xml:space="preserve"> practices</w:t>
      </w:r>
      <w:r>
        <w:rPr>
          <w:rFonts w:cs="Arial"/>
          <w:sz w:val="22"/>
          <w:szCs w:val="22"/>
        </w:rPr>
        <w:t>.</w:t>
      </w:r>
      <w:r w:rsidR="005C5E0A">
        <w:rPr>
          <w:rFonts w:cs="Arial"/>
          <w:sz w:val="22"/>
          <w:szCs w:val="22"/>
        </w:rPr>
        <w:t xml:space="preserve"> Assessors will</w:t>
      </w:r>
      <w:r w:rsidR="00B50193">
        <w:rPr>
          <w:rFonts w:cs="Arial"/>
          <w:sz w:val="22"/>
          <w:szCs w:val="22"/>
        </w:rPr>
        <w:t xml:space="preserve"> consider benchmarks such as media</w:t>
      </w:r>
      <w:r w:rsidR="0003595E">
        <w:rPr>
          <w:rFonts w:cs="Arial"/>
          <w:sz w:val="22"/>
          <w:szCs w:val="22"/>
        </w:rPr>
        <w:t>n</w:t>
      </w:r>
      <w:r w:rsidR="00B50193">
        <w:rPr>
          <w:rFonts w:cs="Arial"/>
          <w:sz w:val="22"/>
          <w:szCs w:val="22"/>
        </w:rPr>
        <w:t xml:space="preserve"> house price by suburb comparators</w:t>
      </w:r>
      <w:r w:rsidR="007E1EF1">
        <w:rPr>
          <w:rFonts w:cs="Arial"/>
          <w:sz w:val="22"/>
          <w:szCs w:val="22"/>
        </w:rPr>
        <w:t xml:space="preserve"> using RP data as the source</w:t>
      </w:r>
      <w:r w:rsidR="00B50193">
        <w:rPr>
          <w:rFonts w:cs="Arial"/>
          <w:sz w:val="22"/>
          <w:szCs w:val="22"/>
        </w:rPr>
        <w:t xml:space="preserve"> and bond history where available that is specific to the rooms or parts of rooms for which approval is sought</w:t>
      </w:r>
      <w:r w:rsidR="0003595E">
        <w:rPr>
          <w:rFonts w:cs="Arial"/>
          <w:sz w:val="22"/>
          <w:szCs w:val="22"/>
        </w:rPr>
        <w:t>.</w:t>
      </w:r>
      <w:r w:rsidR="007E1EF1">
        <w:rPr>
          <w:rFonts w:cs="Arial"/>
          <w:sz w:val="22"/>
          <w:szCs w:val="22"/>
        </w:rPr>
        <w:t xml:space="preserve"> Assessors may also have regard to bond prices of other providers in the same local as an indication of market conditions in the particular area.</w:t>
      </w:r>
    </w:p>
    <w:p w:rsidR="009F15E2" w:rsidRPr="00072710" w:rsidRDefault="009F15E2" w:rsidP="00072710">
      <w:pPr>
        <w:pStyle w:val="ListParagraph"/>
        <w:rPr>
          <w:rFonts w:cs="Arial"/>
          <w:sz w:val="22"/>
          <w:szCs w:val="22"/>
        </w:rPr>
      </w:pPr>
    </w:p>
    <w:p w:rsidR="009F15E2" w:rsidRDefault="009F15E2" w:rsidP="00884D44">
      <w:pPr>
        <w:pStyle w:val="ListParagraph"/>
        <w:numPr>
          <w:ilvl w:val="0"/>
          <w:numId w:val="4"/>
        </w:numPr>
        <w:rPr>
          <w:rFonts w:cs="Arial"/>
          <w:sz w:val="22"/>
          <w:szCs w:val="22"/>
        </w:rPr>
      </w:pPr>
      <w:r>
        <w:rPr>
          <w:rFonts w:cs="Arial"/>
          <w:sz w:val="22"/>
          <w:szCs w:val="22"/>
        </w:rPr>
        <w:t xml:space="preserve">Assessors must establish and clearly identify as a consideration whether the </w:t>
      </w:r>
      <w:r w:rsidR="00132AB9">
        <w:rPr>
          <w:rFonts w:cs="Arial"/>
          <w:sz w:val="22"/>
          <w:szCs w:val="22"/>
        </w:rPr>
        <w:t>accommodation described is for a single resident, or is for more than one resident.</w:t>
      </w:r>
    </w:p>
    <w:p w:rsidR="00132AB9" w:rsidRPr="00072710" w:rsidRDefault="00132AB9" w:rsidP="00072710">
      <w:pPr>
        <w:pStyle w:val="ListParagraph"/>
        <w:rPr>
          <w:rFonts w:cs="Arial"/>
          <w:sz w:val="22"/>
          <w:szCs w:val="22"/>
        </w:rPr>
      </w:pPr>
    </w:p>
    <w:p w:rsidR="00132AB9" w:rsidRPr="00B31F19" w:rsidRDefault="00132AB9" w:rsidP="00884D44">
      <w:pPr>
        <w:pStyle w:val="ListParagraph"/>
        <w:numPr>
          <w:ilvl w:val="0"/>
          <w:numId w:val="4"/>
        </w:numPr>
        <w:rPr>
          <w:rFonts w:cs="Arial"/>
          <w:sz w:val="22"/>
          <w:szCs w:val="22"/>
        </w:rPr>
      </w:pPr>
      <w:r>
        <w:rPr>
          <w:rFonts w:cs="Arial"/>
          <w:sz w:val="22"/>
          <w:szCs w:val="22"/>
        </w:rPr>
        <w:t xml:space="preserve">Assessors must establish that any care and services provided as part of a justification for a proposed price are not care and services described in the </w:t>
      </w:r>
      <w:r>
        <w:rPr>
          <w:rFonts w:cs="Arial"/>
          <w:i/>
          <w:sz w:val="22"/>
          <w:szCs w:val="22"/>
        </w:rPr>
        <w:t xml:space="preserve">Quality of Care Principles 1997, </w:t>
      </w:r>
      <w:r>
        <w:rPr>
          <w:rFonts w:cs="Arial"/>
          <w:sz w:val="22"/>
          <w:szCs w:val="22"/>
        </w:rPr>
        <w:t xml:space="preserve">and that the applicant is not, or does not intend to, seek to otherwise </w:t>
      </w:r>
      <w:r>
        <w:rPr>
          <w:rFonts w:cs="Arial"/>
          <w:sz w:val="22"/>
          <w:szCs w:val="22"/>
        </w:rPr>
        <w:lastRenderedPageBreak/>
        <w:t>charge the resident for the particular care and services including through an extra service fee.</w:t>
      </w:r>
    </w:p>
    <w:p w:rsidR="00884D44" w:rsidRPr="00B31F19" w:rsidRDefault="00884D44" w:rsidP="00884D44">
      <w:pPr>
        <w:rPr>
          <w:rFonts w:cs="Arial"/>
          <w:sz w:val="22"/>
          <w:szCs w:val="22"/>
        </w:rPr>
      </w:pPr>
    </w:p>
    <w:p w:rsidR="00B50193" w:rsidRPr="00072710" w:rsidRDefault="00884D44" w:rsidP="00884D44">
      <w:pPr>
        <w:pStyle w:val="ListParagraph"/>
        <w:numPr>
          <w:ilvl w:val="0"/>
          <w:numId w:val="4"/>
        </w:numPr>
        <w:rPr>
          <w:rFonts w:cs="Arial"/>
          <w:sz w:val="22"/>
          <w:szCs w:val="22"/>
        </w:rPr>
      </w:pPr>
      <w:r w:rsidRPr="00B31F19">
        <w:rPr>
          <w:rFonts w:cs="Arial"/>
          <w:sz w:val="22"/>
          <w:szCs w:val="22"/>
        </w:rPr>
        <w:t xml:space="preserve">Assessors should identify </w:t>
      </w:r>
      <w:r>
        <w:rPr>
          <w:rFonts w:cs="Arial"/>
          <w:sz w:val="22"/>
          <w:szCs w:val="22"/>
        </w:rPr>
        <w:t xml:space="preserve">as a matter of priority </w:t>
      </w:r>
      <w:r w:rsidRPr="00B31F19">
        <w:rPr>
          <w:rFonts w:cs="Arial"/>
          <w:sz w:val="22"/>
          <w:szCs w:val="22"/>
        </w:rPr>
        <w:t>any areas where further inform</w:t>
      </w:r>
      <w:r>
        <w:rPr>
          <w:rFonts w:cs="Arial"/>
          <w:sz w:val="22"/>
          <w:szCs w:val="22"/>
        </w:rPr>
        <w:t>ation is required</w:t>
      </w:r>
      <w:r w:rsidRPr="00B31F19">
        <w:rPr>
          <w:rFonts w:cs="Arial"/>
          <w:sz w:val="22"/>
          <w:szCs w:val="22"/>
        </w:rPr>
        <w:t xml:space="preserve">, and should assist applicants </w:t>
      </w:r>
      <w:r w:rsidR="005C5E0A">
        <w:rPr>
          <w:rFonts w:cs="Arial"/>
          <w:sz w:val="22"/>
          <w:szCs w:val="22"/>
        </w:rPr>
        <w:t xml:space="preserve">in this case </w:t>
      </w:r>
      <w:r w:rsidRPr="00B31F19">
        <w:rPr>
          <w:rFonts w:cs="Arial"/>
          <w:sz w:val="22"/>
          <w:szCs w:val="22"/>
        </w:rPr>
        <w:t>in identifying informa</w:t>
      </w:r>
      <w:r>
        <w:rPr>
          <w:rFonts w:cs="Arial"/>
          <w:sz w:val="22"/>
          <w:szCs w:val="22"/>
        </w:rPr>
        <w:t xml:space="preserve">tion that </w:t>
      </w:r>
      <w:r w:rsidR="005C5E0A">
        <w:rPr>
          <w:rFonts w:cs="Arial"/>
          <w:sz w:val="22"/>
          <w:szCs w:val="22"/>
        </w:rPr>
        <w:t xml:space="preserve">will </w:t>
      </w:r>
      <w:r>
        <w:rPr>
          <w:rFonts w:cs="Arial"/>
          <w:sz w:val="22"/>
          <w:szCs w:val="22"/>
        </w:rPr>
        <w:t>contribute to a</w:t>
      </w:r>
      <w:r w:rsidR="00B50193">
        <w:rPr>
          <w:rFonts w:cs="Arial"/>
          <w:sz w:val="22"/>
          <w:szCs w:val="22"/>
        </w:rPr>
        <w:t>n</w:t>
      </w:r>
      <w:r w:rsidRPr="00B31F19">
        <w:rPr>
          <w:rFonts w:cs="Arial"/>
          <w:sz w:val="22"/>
          <w:szCs w:val="22"/>
        </w:rPr>
        <w:t xml:space="preserve"> assessment.</w:t>
      </w:r>
    </w:p>
    <w:p w:rsidR="00B50193" w:rsidRPr="00242B56" w:rsidRDefault="00B50193" w:rsidP="00884D44">
      <w:pPr>
        <w:rPr>
          <w:rFonts w:cs="Arial"/>
          <w:sz w:val="22"/>
          <w:szCs w:val="22"/>
        </w:rPr>
      </w:pPr>
    </w:p>
    <w:p w:rsidR="00884D44" w:rsidRPr="00B31F19" w:rsidRDefault="00884D44" w:rsidP="00562E29">
      <w:pPr>
        <w:pStyle w:val="Heading4"/>
      </w:pPr>
      <w:bookmarkStart w:id="8" w:name="_Toc377471338"/>
      <w:r w:rsidRPr="00B31F19">
        <w:t>Protected information and confidentiality</w:t>
      </w:r>
      <w:bookmarkEnd w:id="8"/>
    </w:p>
    <w:p w:rsidR="00884D44" w:rsidRPr="00B31F19" w:rsidRDefault="00884D44" w:rsidP="00884D44">
      <w:pPr>
        <w:rPr>
          <w:rFonts w:cs="Arial"/>
          <w:sz w:val="22"/>
          <w:szCs w:val="22"/>
        </w:rPr>
      </w:pPr>
    </w:p>
    <w:p w:rsidR="00884D44" w:rsidRPr="00B31F19" w:rsidRDefault="00884D44" w:rsidP="00884D44">
      <w:pPr>
        <w:rPr>
          <w:rFonts w:cs="Arial"/>
          <w:sz w:val="22"/>
          <w:szCs w:val="22"/>
        </w:rPr>
      </w:pPr>
      <w:r w:rsidRPr="00B31F19">
        <w:rPr>
          <w:rFonts w:cs="Arial"/>
          <w:sz w:val="22"/>
          <w:szCs w:val="22"/>
        </w:rPr>
        <w:t xml:space="preserve">Assessors </w:t>
      </w:r>
      <w:r w:rsidR="00B50193">
        <w:rPr>
          <w:rFonts w:cs="Arial"/>
          <w:sz w:val="22"/>
          <w:szCs w:val="22"/>
        </w:rPr>
        <w:t>must</w:t>
      </w:r>
      <w:r w:rsidRPr="00B31F19">
        <w:rPr>
          <w:rFonts w:cs="Arial"/>
          <w:sz w:val="22"/>
          <w:szCs w:val="22"/>
        </w:rPr>
        <w:t xml:space="preserve"> familiarise themselves with Division 86 of the Act, which relates to protection of information, including use and disclosure of protected information. Protected information is defined under section 86-1 of the Act as information that:</w:t>
      </w:r>
    </w:p>
    <w:p w:rsidR="00884D44" w:rsidRPr="00B31F19" w:rsidRDefault="00884D44" w:rsidP="00884D44">
      <w:pPr>
        <w:rPr>
          <w:rFonts w:cs="Arial"/>
          <w:sz w:val="22"/>
          <w:szCs w:val="22"/>
        </w:rPr>
      </w:pPr>
    </w:p>
    <w:p w:rsidR="00884D44" w:rsidRPr="00E54A20" w:rsidRDefault="00884D44" w:rsidP="00884D44">
      <w:pPr>
        <w:rPr>
          <w:rFonts w:cs="Arial"/>
          <w:i/>
          <w:sz w:val="22"/>
          <w:szCs w:val="22"/>
        </w:rPr>
      </w:pPr>
      <w:proofErr w:type="gramStart"/>
      <w:r w:rsidRPr="00E54A20">
        <w:rPr>
          <w:rFonts w:cs="Arial"/>
          <w:i/>
          <w:sz w:val="22"/>
          <w:szCs w:val="22"/>
        </w:rPr>
        <w:t>was</w:t>
      </w:r>
      <w:proofErr w:type="gramEnd"/>
      <w:r w:rsidRPr="00E54A20">
        <w:rPr>
          <w:rFonts w:cs="Arial"/>
          <w:i/>
          <w:sz w:val="22"/>
          <w:szCs w:val="22"/>
        </w:rPr>
        <w:t xml:space="preserve"> acquired under or for the purposes of this Act; and either:</w:t>
      </w:r>
    </w:p>
    <w:p w:rsidR="00884D44" w:rsidRPr="00E54A20" w:rsidRDefault="00884D44" w:rsidP="00884D44">
      <w:pPr>
        <w:rPr>
          <w:rFonts w:cs="Arial"/>
          <w:i/>
          <w:sz w:val="22"/>
          <w:szCs w:val="22"/>
        </w:rPr>
      </w:pPr>
    </w:p>
    <w:p w:rsidR="00884D44" w:rsidRPr="00E54A20" w:rsidRDefault="00884D44" w:rsidP="00884D44">
      <w:pPr>
        <w:pStyle w:val="ListParagraph"/>
        <w:numPr>
          <w:ilvl w:val="0"/>
          <w:numId w:val="5"/>
        </w:numPr>
        <w:rPr>
          <w:rFonts w:cs="Arial"/>
          <w:i/>
          <w:sz w:val="22"/>
          <w:szCs w:val="22"/>
        </w:rPr>
      </w:pPr>
      <w:r w:rsidRPr="00E54A20">
        <w:rPr>
          <w:rFonts w:cs="Arial"/>
          <w:i/>
          <w:sz w:val="22"/>
          <w:szCs w:val="22"/>
        </w:rPr>
        <w:t>is personal information;</w:t>
      </w:r>
    </w:p>
    <w:p w:rsidR="00884D44" w:rsidRPr="00E54A20" w:rsidRDefault="00884D44" w:rsidP="00884D44">
      <w:pPr>
        <w:pStyle w:val="ListParagraph"/>
        <w:numPr>
          <w:ilvl w:val="0"/>
          <w:numId w:val="5"/>
        </w:numPr>
        <w:rPr>
          <w:rFonts w:cs="Arial"/>
          <w:i/>
          <w:sz w:val="22"/>
          <w:szCs w:val="22"/>
        </w:rPr>
      </w:pPr>
      <w:r w:rsidRPr="00E54A20">
        <w:rPr>
          <w:rFonts w:cs="Arial"/>
          <w:i/>
          <w:sz w:val="22"/>
          <w:szCs w:val="22"/>
        </w:rPr>
        <w:t>relates to the affairs of an approved provider;</w:t>
      </w:r>
    </w:p>
    <w:p w:rsidR="00884D44" w:rsidRPr="00E54A20" w:rsidRDefault="00884D44" w:rsidP="00884D44">
      <w:pPr>
        <w:pStyle w:val="ListParagraph"/>
        <w:numPr>
          <w:ilvl w:val="0"/>
          <w:numId w:val="5"/>
        </w:numPr>
        <w:rPr>
          <w:rFonts w:cs="Arial"/>
          <w:i/>
          <w:sz w:val="22"/>
          <w:szCs w:val="22"/>
        </w:rPr>
      </w:pPr>
      <w:r w:rsidRPr="00E54A20">
        <w:rPr>
          <w:rFonts w:cs="Arial"/>
          <w:i/>
          <w:sz w:val="22"/>
          <w:szCs w:val="22"/>
        </w:rPr>
        <w:t>relates to the affairs of an applicant for approval under Part 2.1; or</w:t>
      </w:r>
    </w:p>
    <w:p w:rsidR="00884D44" w:rsidRPr="00E54A20" w:rsidRDefault="00884D44" w:rsidP="00884D44">
      <w:pPr>
        <w:pStyle w:val="ListParagraph"/>
        <w:numPr>
          <w:ilvl w:val="0"/>
          <w:numId w:val="5"/>
        </w:numPr>
        <w:rPr>
          <w:rFonts w:cs="Arial"/>
          <w:i/>
          <w:sz w:val="22"/>
          <w:szCs w:val="22"/>
        </w:rPr>
      </w:pPr>
      <w:proofErr w:type="gramStart"/>
      <w:r w:rsidRPr="00E54A20">
        <w:rPr>
          <w:rFonts w:cs="Arial"/>
          <w:i/>
          <w:sz w:val="22"/>
          <w:szCs w:val="22"/>
        </w:rPr>
        <w:t>relates</w:t>
      </w:r>
      <w:proofErr w:type="gramEnd"/>
      <w:r w:rsidRPr="00E54A20">
        <w:rPr>
          <w:rFonts w:cs="Arial"/>
          <w:i/>
          <w:sz w:val="22"/>
          <w:szCs w:val="22"/>
        </w:rPr>
        <w:t xml:space="preserve"> to the affairs of an applicant for a grant under Chapter 5.</w:t>
      </w:r>
    </w:p>
    <w:p w:rsidR="00884D44" w:rsidRPr="00B31F19" w:rsidRDefault="00884D44" w:rsidP="00884D44">
      <w:pPr>
        <w:rPr>
          <w:rFonts w:cs="Arial"/>
          <w:sz w:val="22"/>
          <w:szCs w:val="22"/>
        </w:rPr>
      </w:pPr>
    </w:p>
    <w:p w:rsidR="00884D44" w:rsidRDefault="00884D44" w:rsidP="00884D44">
      <w:pPr>
        <w:rPr>
          <w:rFonts w:cs="Arial"/>
          <w:sz w:val="22"/>
          <w:szCs w:val="22"/>
        </w:rPr>
      </w:pPr>
      <w:r w:rsidRPr="00B31F19">
        <w:rPr>
          <w:rFonts w:cs="Arial"/>
          <w:sz w:val="22"/>
          <w:szCs w:val="22"/>
        </w:rPr>
        <w:t xml:space="preserve">All information provided by approved providers in their applications to the Commissioner must therefore be treated as protected information. </w:t>
      </w:r>
    </w:p>
    <w:p w:rsidR="00884D44" w:rsidRDefault="00884D44" w:rsidP="00884D44">
      <w:pPr>
        <w:rPr>
          <w:rFonts w:cs="Arial"/>
          <w:sz w:val="22"/>
          <w:szCs w:val="22"/>
        </w:rPr>
      </w:pPr>
    </w:p>
    <w:p w:rsidR="00884D44" w:rsidRPr="00B31F19" w:rsidRDefault="00884D44" w:rsidP="00884D44">
      <w:pPr>
        <w:rPr>
          <w:rFonts w:cs="Arial"/>
          <w:sz w:val="22"/>
          <w:szCs w:val="22"/>
        </w:rPr>
      </w:pPr>
      <w:r w:rsidRPr="00B31F19">
        <w:rPr>
          <w:rFonts w:cs="Arial"/>
          <w:sz w:val="22"/>
          <w:szCs w:val="22"/>
        </w:rPr>
        <w:t xml:space="preserve">Breaches of confidential information such as unauthorised release of protected information will compromise the fairness and integrity of any decision-making activities associated with the Pricing Commissioner. In addition, any unauthorised release or misuse of protected information can result in a breach of the </w:t>
      </w:r>
      <w:r w:rsidRPr="00B31F19">
        <w:rPr>
          <w:rFonts w:cs="Arial"/>
          <w:i/>
          <w:sz w:val="22"/>
          <w:szCs w:val="22"/>
        </w:rPr>
        <w:t>Aged Care Act 1997</w:t>
      </w:r>
      <w:r w:rsidRPr="00B31F19">
        <w:rPr>
          <w:rFonts w:cs="Arial"/>
          <w:sz w:val="22"/>
          <w:szCs w:val="22"/>
        </w:rPr>
        <w:t>, (the Act) with personal penalties of up to two years imprisonment and a breach of the APS Code of Conduct.</w:t>
      </w:r>
    </w:p>
    <w:p w:rsidR="00884D44" w:rsidRDefault="00884D44" w:rsidP="00562E29">
      <w:pPr>
        <w:pStyle w:val="Heading3"/>
      </w:pPr>
    </w:p>
    <w:p w:rsidR="00884D44" w:rsidRDefault="00884D44" w:rsidP="00562E29">
      <w:pPr>
        <w:pStyle w:val="Heading4"/>
        <w:rPr>
          <w:rFonts w:cs="Times New Roman"/>
          <w:sz w:val="20"/>
          <w:szCs w:val="20"/>
        </w:rPr>
      </w:pPr>
      <w:bookmarkStart w:id="9" w:name="_Toc377471339"/>
      <w:r>
        <w:t>Related documents</w:t>
      </w:r>
      <w:bookmarkEnd w:id="9"/>
    </w:p>
    <w:p w:rsidR="00884D44" w:rsidRDefault="00884D44" w:rsidP="00562E29">
      <w:pPr>
        <w:pStyle w:val="Heading3"/>
      </w:pPr>
    </w:p>
    <w:p w:rsidR="00884D44" w:rsidRPr="00AF7209" w:rsidRDefault="00884D44" w:rsidP="00884D44">
      <w:pPr>
        <w:rPr>
          <w:sz w:val="22"/>
          <w:szCs w:val="22"/>
        </w:rPr>
      </w:pPr>
      <w:bookmarkStart w:id="10" w:name="_Toc375582759"/>
      <w:r w:rsidRPr="00AF7209">
        <w:rPr>
          <w:sz w:val="22"/>
          <w:szCs w:val="22"/>
        </w:rPr>
        <w:t>This manual should be read in conjun</w:t>
      </w:r>
      <w:r w:rsidR="00945EBA">
        <w:rPr>
          <w:sz w:val="22"/>
          <w:szCs w:val="22"/>
        </w:rPr>
        <w:t>ction with the Application Form and</w:t>
      </w:r>
      <w:r w:rsidRPr="00AF7209">
        <w:rPr>
          <w:sz w:val="22"/>
          <w:szCs w:val="22"/>
        </w:rPr>
        <w:t xml:space="preserve"> </w:t>
      </w:r>
      <w:r w:rsidR="00945EBA">
        <w:rPr>
          <w:sz w:val="22"/>
          <w:szCs w:val="22"/>
        </w:rPr>
        <w:t>Application Guide</w:t>
      </w:r>
      <w:r w:rsidRPr="00AF7209">
        <w:rPr>
          <w:sz w:val="22"/>
          <w:szCs w:val="22"/>
        </w:rPr>
        <w:t>.</w:t>
      </w:r>
      <w:bookmarkEnd w:id="10"/>
      <w:r w:rsidRPr="00AF7209">
        <w:rPr>
          <w:sz w:val="22"/>
          <w:szCs w:val="22"/>
        </w:rPr>
        <w:t xml:space="preserve"> </w:t>
      </w:r>
    </w:p>
    <w:p w:rsidR="00884D44" w:rsidRDefault="00884D44" w:rsidP="00562E29">
      <w:pPr>
        <w:pStyle w:val="Heading3"/>
      </w:pPr>
    </w:p>
    <w:p w:rsidR="00884D44" w:rsidRPr="00562E29" w:rsidRDefault="00884D44" w:rsidP="00562E29">
      <w:pPr>
        <w:pStyle w:val="Heading3"/>
      </w:pPr>
      <w:bookmarkStart w:id="11" w:name="_Toc377471341"/>
      <w:bookmarkStart w:id="12" w:name="_Toc380153543"/>
      <w:r w:rsidRPr="00562E29">
        <w:t>Preliminary application and assessment processes</w:t>
      </w:r>
      <w:bookmarkEnd w:id="11"/>
      <w:bookmarkEnd w:id="12"/>
    </w:p>
    <w:p w:rsidR="00884D44" w:rsidRDefault="00884D44" w:rsidP="00884D44"/>
    <w:p w:rsidR="00884D44" w:rsidRDefault="00B50193" w:rsidP="00562E29">
      <w:pPr>
        <w:pStyle w:val="Heading4"/>
      </w:pPr>
      <w:bookmarkStart w:id="13" w:name="_Toc377471343"/>
      <w:r>
        <w:t>Step 1</w:t>
      </w:r>
      <w:r w:rsidR="00884D44">
        <w:t>: Applications received</w:t>
      </w:r>
      <w:bookmarkEnd w:id="13"/>
    </w:p>
    <w:p w:rsidR="00884D44" w:rsidRPr="00F10FCE" w:rsidRDefault="00884D44" w:rsidP="00884D44"/>
    <w:p w:rsidR="00884D44" w:rsidRPr="00562E29" w:rsidRDefault="00884D44" w:rsidP="00562E29">
      <w:pPr>
        <w:pStyle w:val="Heading5"/>
      </w:pPr>
      <w:r w:rsidRPr="00562E29">
        <w:t>Record complete application (Day 1)</w:t>
      </w:r>
    </w:p>
    <w:p w:rsidR="00884D44" w:rsidRPr="004D69D2" w:rsidRDefault="00884D44" w:rsidP="00884D44">
      <w:pPr>
        <w:pStyle w:val="ListParagraph"/>
        <w:numPr>
          <w:ilvl w:val="0"/>
          <w:numId w:val="17"/>
        </w:numPr>
        <w:spacing w:before="120" w:after="120"/>
        <w:rPr>
          <w:rFonts w:cs="Arial"/>
          <w:sz w:val="22"/>
          <w:szCs w:val="22"/>
        </w:rPr>
      </w:pPr>
      <w:r w:rsidRPr="004D69D2">
        <w:rPr>
          <w:rFonts w:cs="Arial"/>
          <w:sz w:val="22"/>
          <w:szCs w:val="22"/>
        </w:rPr>
        <w:t>The application, including the covering email, application form and attachments</w:t>
      </w:r>
      <w:r>
        <w:rPr>
          <w:rFonts w:cs="Arial"/>
          <w:sz w:val="22"/>
          <w:szCs w:val="22"/>
        </w:rPr>
        <w:t>,</w:t>
      </w:r>
      <w:r w:rsidRPr="004D69D2">
        <w:rPr>
          <w:rFonts w:cs="Arial"/>
          <w:sz w:val="22"/>
          <w:szCs w:val="22"/>
        </w:rPr>
        <w:t xml:space="preserve"> must be saved in a designated folder in a secure drive. The email must clearly show the date of receipt. The application must not be altered by an assessor</w:t>
      </w:r>
      <w:r>
        <w:rPr>
          <w:rFonts w:cs="Arial"/>
          <w:sz w:val="22"/>
          <w:szCs w:val="22"/>
        </w:rPr>
        <w:t>, except to include any additional information received from the applicant</w:t>
      </w:r>
      <w:r w:rsidRPr="004D69D2">
        <w:rPr>
          <w:rFonts w:cs="Arial"/>
          <w:sz w:val="22"/>
          <w:szCs w:val="22"/>
        </w:rPr>
        <w:t xml:space="preserve">. </w:t>
      </w:r>
    </w:p>
    <w:p w:rsidR="00884D44" w:rsidRPr="004D69D2" w:rsidRDefault="00884D44" w:rsidP="00562E29">
      <w:pPr>
        <w:pStyle w:val="Heading5"/>
      </w:pPr>
      <w:r w:rsidRPr="004D69D2">
        <w:t>Log application in database</w:t>
      </w:r>
      <w:r>
        <w:t xml:space="preserve"> (Day 1)</w:t>
      </w:r>
    </w:p>
    <w:p w:rsidR="00884D44" w:rsidRPr="004D69D2" w:rsidRDefault="00884D44" w:rsidP="00884D44">
      <w:pPr>
        <w:pStyle w:val="ListParagraph"/>
        <w:numPr>
          <w:ilvl w:val="0"/>
          <w:numId w:val="16"/>
        </w:numPr>
        <w:spacing w:before="120" w:after="120"/>
        <w:ind w:left="714" w:hanging="357"/>
        <w:contextualSpacing w:val="0"/>
        <w:rPr>
          <w:rFonts w:cs="Arial"/>
          <w:sz w:val="22"/>
          <w:szCs w:val="22"/>
        </w:rPr>
      </w:pPr>
      <w:r w:rsidRPr="004D69D2">
        <w:rPr>
          <w:rFonts w:cs="Arial"/>
          <w:sz w:val="22"/>
          <w:szCs w:val="22"/>
        </w:rPr>
        <w:t>Application received via email to the Office inbox.</w:t>
      </w:r>
    </w:p>
    <w:p w:rsidR="00884D44" w:rsidRPr="004D69D2" w:rsidRDefault="00884D44" w:rsidP="00884D44">
      <w:pPr>
        <w:pStyle w:val="ListParagraph"/>
        <w:numPr>
          <w:ilvl w:val="0"/>
          <w:numId w:val="16"/>
        </w:numPr>
        <w:spacing w:before="120" w:after="120"/>
        <w:ind w:left="714" w:hanging="357"/>
        <w:contextualSpacing w:val="0"/>
        <w:rPr>
          <w:rFonts w:cs="Arial"/>
          <w:sz w:val="22"/>
          <w:szCs w:val="22"/>
        </w:rPr>
      </w:pPr>
      <w:r w:rsidRPr="004D69D2">
        <w:rPr>
          <w:rFonts w:cs="Arial"/>
          <w:sz w:val="22"/>
          <w:szCs w:val="22"/>
        </w:rPr>
        <w:t xml:space="preserve">Assessors to log application to </w:t>
      </w:r>
      <w:r w:rsidR="00B50193">
        <w:rPr>
          <w:rFonts w:cs="Arial"/>
          <w:sz w:val="22"/>
          <w:szCs w:val="22"/>
        </w:rPr>
        <w:t xml:space="preserve">secure </w:t>
      </w:r>
      <w:r w:rsidRPr="004D69D2">
        <w:rPr>
          <w:rFonts w:cs="Arial"/>
          <w:sz w:val="22"/>
          <w:szCs w:val="22"/>
        </w:rPr>
        <w:t xml:space="preserve">database. The database will transfer information automatically from the application into the database fields.  The database will link to the </w:t>
      </w:r>
      <w:r w:rsidRPr="004D69D2">
        <w:rPr>
          <w:rFonts w:cs="Arial"/>
          <w:sz w:val="22"/>
          <w:szCs w:val="22"/>
        </w:rPr>
        <w:lastRenderedPageBreak/>
        <w:t>application folder and pr</w:t>
      </w:r>
      <w:r w:rsidR="005C5E0A">
        <w:rPr>
          <w:rFonts w:cs="Arial"/>
          <w:sz w:val="22"/>
          <w:szCs w:val="22"/>
        </w:rPr>
        <w:t>ovide</w:t>
      </w:r>
      <w:r w:rsidRPr="004D69D2">
        <w:rPr>
          <w:rFonts w:cs="Arial"/>
          <w:sz w:val="22"/>
          <w:szCs w:val="22"/>
        </w:rPr>
        <w:t xml:space="preserve"> a copy of the documents as and when requested by the user.  </w:t>
      </w:r>
    </w:p>
    <w:p w:rsidR="00884D44" w:rsidRPr="004D69D2" w:rsidRDefault="00884D44" w:rsidP="00884D44">
      <w:pPr>
        <w:pStyle w:val="ListParagraph"/>
        <w:numPr>
          <w:ilvl w:val="0"/>
          <w:numId w:val="16"/>
        </w:numPr>
        <w:spacing w:before="120" w:after="120"/>
        <w:ind w:left="714" w:hanging="357"/>
        <w:contextualSpacing w:val="0"/>
        <w:rPr>
          <w:rFonts w:cs="Arial"/>
          <w:sz w:val="22"/>
          <w:szCs w:val="22"/>
        </w:rPr>
      </w:pPr>
      <w:r w:rsidRPr="004D69D2">
        <w:rPr>
          <w:rFonts w:cs="Arial"/>
          <w:sz w:val="22"/>
          <w:szCs w:val="22"/>
        </w:rPr>
        <w:t>Each application entered into the database will be allocated</w:t>
      </w:r>
      <w:r>
        <w:rPr>
          <w:rFonts w:cs="Arial"/>
          <w:sz w:val="22"/>
          <w:szCs w:val="22"/>
        </w:rPr>
        <w:t xml:space="preserve"> a reference number.</w:t>
      </w:r>
    </w:p>
    <w:p w:rsidR="00884D44" w:rsidRDefault="00884D44" w:rsidP="00884D44">
      <w:pPr>
        <w:pStyle w:val="ListParagraph"/>
        <w:numPr>
          <w:ilvl w:val="0"/>
          <w:numId w:val="16"/>
        </w:numPr>
        <w:spacing w:before="120" w:after="120"/>
        <w:ind w:left="714" w:hanging="357"/>
        <w:contextualSpacing w:val="0"/>
        <w:rPr>
          <w:rFonts w:cs="Arial"/>
          <w:sz w:val="22"/>
          <w:szCs w:val="22"/>
        </w:rPr>
      </w:pPr>
      <w:r w:rsidRPr="004D69D2">
        <w:rPr>
          <w:rFonts w:cs="Arial"/>
          <w:sz w:val="22"/>
          <w:szCs w:val="22"/>
        </w:rPr>
        <w:t>The period in which the decision must be made (i.e</w:t>
      </w:r>
      <w:r>
        <w:rPr>
          <w:rFonts w:cs="Arial"/>
          <w:sz w:val="22"/>
          <w:szCs w:val="22"/>
        </w:rPr>
        <w:t>.</w:t>
      </w:r>
      <w:r w:rsidRPr="004D69D2">
        <w:rPr>
          <w:rFonts w:cs="Arial"/>
          <w:sz w:val="22"/>
          <w:szCs w:val="22"/>
        </w:rPr>
        <w:t xml:space="preserve"> 60 days maximum in the first instance) begins the </w:t>
      </w:r>
      <w:r w:rsidRPr="004D69D2">
        <w:rPr>
          <w:rFonts w:cs="Arial"/>
          <w:sz w:val="22"/>
          <w:szCs w:val="22"/>
          <w:u w:val="single"/>
        </w:rPr>
        <w:t>day a valid application is received</w:t>
      </w:r>
      <w:r w:rsidRPr="004D69D2">
        <w:rPr>
          <w:rFonts w:cs="Arial"/>
          <w:sz w:val="22"/>
          <w:szCs w:val="22"/>
        </w:rPr>
        <w:t xml:space="preserve"> (the “decision period”).  The 60 day time frame </w:t>
      </w:r>
      <w:r>
        <w:rPr>
          <w:rFonts w:cs="Arial"/>
          <w:sz w:val="22"/>
          <w:szCs w:val="22"/>
        </w:rPr>
        <w:t>is reflected in</w:t>
      </w:r>
      <w:r w:rsidRPr="004D69D2">
        <w:rPr>
          <w:rFonts w:cs="Arial"/>
          <w:sz w:val="22"/>
          <w:szCs w:val="22"/>
        </w:rPr>
        <w:t xml:space="preserve"> a timing function</w:t>
      </w:r>
      <w:r>
        <w:rPr>
          <w:rFonts w:cs="Arial"/>
          <w:sz w:val="22"/>
          <w:szCs w:val="22"/>
        </w:rPr>
        <w:t xml:space="preserve"> in the database</w:t>
      </w:r>
      <w:r w:rsidRPr="004D69D2">
        <w:rPr>
          <w:rFonts w:cs="Arial"/>
          <w:sz w:val="22"/>
          <w:szCs w:val="22"/>
        </w:rPr>
        <w:t xml:space="preserve"> which records each day of the decision period and counts down to the due date. </w:t>
      </w:r>
      <w:r>
        <w:rPr>
          <w:rFonts w:cs="Arial"/>
          <w:sz w:val="22"/>
          <w:szCs w:val="22"/>
        </w:rPr>
        <w:t>Where further information is sought from an applicant, the 60 day time period is suspended beginning on the day on which further information is sought and ending on the day on which further information is received.</w:t>
      </w:r>
      <w:r w:rsidR="007E1EF1">
        <w:rPr>
          <w:rFonts w:cs="Arial"/>
          <w:sz w:val="22"/>
          <w:szCs w:val="22"/>
        </w:rPr>
        <w:t xml:space="preserve"> </w:t>
      </w:r>
    </w:p>
    <w:p w:rsidR="007E1EF1" w:rsidRPr="004D69D2" w:rsidRDefault="007E1EF1" w:rsidP="00884D44">
      <w:pPr>
        <w:pStyle w:val="ListParagraph"/>
        <w:numPr>
          <w:ilvl w:val="0"/>
          <w:numId w:val="16"/>
        </w:numPr>
        <w:spacing w:before="120" w:after="120"/>
        <w:ind w:left="714" w:hanging="357"/>
        <w:contextualSpacing w:val="0"/>
        <w:rPr>
          <w:rFonts w:cs="Arial"/>
          <w:sz w:val="22"/>
          <w:szCs w:val="22"/>
        </w:rPr>
      </w:pPr>
      <w:r>
        <w:rPr>
          <w:rFonts w:cs="Arial"/>
          <w:sz w:val="22"/>
          <w:szCs w:val="22"/>
        </w:rPr>
        <w:t xml:space="preserve">While a period of 60 days is established </w:t>
      </w:r>
      <w:r w:rsidR="00CA785A">
        <w:rPr>
          <w:rFonts w:cs="Arial"/>
          <w:sz w:val="22"/>
          <w:szCs w:val="22"/>
        </w:rPr>
        <w:t xml:space="preserve">under s 14 (1) (3) of the </w:t>
      </w:r>
      <w:r w:rsidR="00CA785A">
        <w:rPr>
          <w:rFonts w:cs="Arial"/>
          <w:i/>
          <w:sz w:val="22"/>
          <w:szCs w:val="22"/>
        </w:rPr>
        <w:t>Fees and Payments Principles 2014</w:t>
      </w:r>
      <w:r w:rsidR="00CA785A">
        <w:rPr>
          <w:rFonts w:cs="Arial"/>
          <w:sz w:val="22"/>
          <w:szCs w:val="22"/>
        </w:rPr>
        <w:t xml:space="preserve"> as the statutory timeframe for the Commissioner to make a decision, it is expected that applications will be considered and decisions given in a considerably lesser period of time in most circumstances.</w:t>
      </w:r>
    </w:p>
    <w:p w:rsidR="00884D44" w:rsidRPr="004D69D2" w:rsidRDefault="00884D44" w:rsidP="00884D44">
      <w:pPr>
        <w:pStyle w:val="ListParagraph"/>
        <w:numPr>
          <w:ilvl w:val="0"/>
          <w:numId w:val="16"/>
        </w:numPr>
        <w:spacing w:before="120" w:after="120"/>
        <w:ind w:left="714" w:hanging="357"/>
        <w:contextualSpacing w:val="0"/>
        <w:rPr>
          <w:rFonts w:cs="Arial"/>
          <w:sz w:val="22"/>
          <w:szCs w:val="22"/>
        </w:rPr>
      </w:pPr>
      <w:r w:rsidRPr="004D69D2">
        <w:rPr>
          <w:rFonts w:cs="Arial"/>
          <w:sz w:val="22"/>
          <w:szCs w:val="22"/>
        </w:rPr>
        <w:t xml:space="preserve">The database’s current settings record the date the application is </w:t>
      </w:r>
      <w:r w:rsidR="008E6C4D">
        <w:rPr>
          <w:rFonts w:cs="Arial"/>
          <w:sz w:val="22"/>
          <w:szCs w:val="22"/>
        </w:rPr>
        <w:t>received</w:t>
      </w:r>
      <w:r w:rsidRPr="004D69D2">
        <w:rPr>
          <w:rFonts w:cs="Arial"/>
          <w:sz w:val="22"/>
          <w:szCs w:val="22"/>
        </w:rPr>
        <w:t xml:space="preserve"> as the receipt date and the timing function is activated. </w:t>
      </w:r>
    </w:p>
    <w:p w:rsidR="00884D44" w:rsidRDefault="00884D44" w:rsidP="00884D44"/>
    <w:p w:rsidR="005C5E0A" w:rsidRPr="00374C19" w:rsidRDefault="005C5E0A" w:rsidP="00562E29">
      <w:pPr>
        <w:pStyle w:val="Heading4"/>
      </w:pPr>
      <w:bookmarkStart w:id="14" w:name="_Toc377471345"/>
      <w:r>
        <w:t>Step 2</w:t>
      </w:r>
      <w:r w:rsidRPr="00374C19">
        <w:t xml:space="preserve">: </w:t>
      </w:r>
      <w:r>
        <w:t>Determine validity of application (Day 1)</w:t>
      </w:r>
      <w:bookmarkEnd w:id="14"/>
    </w:p>
    <w:p w:rsidR="005C5E0A" w:rsidRPr="00374C19" w:rsidRDefault="005C5E0A" w:rsidP="005C5E0A">
      <w:pPr>
        <w:rPr>
          <w:sz w:val="22"/>
          <w:szCs w:val="22"/>
        </w:rPr>
      </w:pPr>
    </w:p>
    <w:p w:rsidR="005C5E0A" w:rsidRPr="00374C19" w:rsidRDefault="005C5E0A" w:rsidP="005C5E0A">
      <w:pPr>
        <w:rPr>
          <w:sz w:val="22"/>
          <w:szCs w:val="22"/>
        </w:rPr>
      </w:pPr>
      <w:r>
        <w:rPr>
          <w:sz w:val="22"/>
          <w:szCs w:val="22"/>
        </w:rPr>
        <w:t>A check will be conducted</w:t>
      </w:r>
      <w:r w:rsidRPr="00374C19">
        <w:rPr>
          <w:sz w:val="22"/>
          <w:szCs w:val="22"/>
        </w:rPr>
        <w:t xml:space="preserve"> to identify whether applications </w:t>
      </w:r>
      <w:r>
        <w:rPr>
          <w:sz w:val="22"/>
          <w:szCs w:val="22"/>
        </w:rPr>
        <w:t xml:space="preserve">are valid applications, including whether applicants are approved providers and information has been provided in the approved form. </w:t>
      </w:r>
    </w:p>
    <w:p w:rsidR="005C5E0A" w:rsidRPr="00374C19" w:rsidRDefault="005C5E0A" w:rsidP="00562E29">
      <w:pPr>
        <w:pStyle w:val="Heading5"/>
        <w:rPr>
          <w:i/>
        </w:rPr>
      </w:pPr>
      <w:r w:rsidRPr="00374C19">
        <w:t>Assessor checklist</w:t>
      </w:r>
    </w:p>
    <w:p w:rsidR="005C5E0A" w:rsidRPr="00374C19" w:rsidRDefault="005C5E0A" w:rsidP="005C5E0A">
      <w:pPr>
        <w:rPr>
          <w:sz w:val="22"/>
          <w:szCs w:val="22"/>
        </w:rPr>
      </w:pPr>
    </w:p>
    <w:p w:rsidR="005C5E0A" w:rsidRPr="00374C19" w:rsidRDefault="005C5E0A" w:rsidP="005C5E0A">
      <w:pPr>
        <w:pStyle w:val="Text"/>
        <w:ind w:left="0"/>
        <w:rPr>
          <w:sz w:val="22"/>
          <w:szCs w:val="22"/>
        </w:rPr>
      </w:pPr>
      <w:r w:rsidRPr="00374C19">
        <w:rPr>
          <w:sz w:val="22"/>
          <w:szCs w:val="22"/>
        </w:rPr>
        <w:t>The table below sets out the steps that the assessor must undertak</w:t>
      </w:r>
      <w:r>
        <w:rPr>
          <w:sz w:val="22"/>
          <w:szCs w:val="22"/>
        </w:rPr>
        <w:t xml:space="preserve">e for this stage of the process. </w:t>
      </w:r>
    </w:p>
    <w:p w:rsidR="005C5E0A" w:rsidRPr="00374C19" w:rsidRDefault="005C5E0A" w:rsidP="005C5E0A">
      <w:pPr>
        <w:pStyle w:val="TextDotPoint"/>
        <w:ind w:left="284"/>
        <w:rPr>
          <w:sz w:val="22"/>
          <w:szCs w:val="22"/>
        </w:rPr>
      </w:pPr>
      <w:r>
        <w:rPr>
          <w:i/>
          <w:sz w:val="22"/>
          <w:szCs w:val="22"/>
        </w:rPr>
        <w:t>Requirement</w:t>
      </w:r>
      <w:r w:rsidRPr="00374C19">
        <w:rPr>
          <w:sz w:val="22"/>
          <w:szCs w:val="22"/>
        </w:rPr>
        <w:t xml:space="preserve"> sets out the </w:t>
      </w:r>
      <w:r>
        <w:rPr>
          <w:sz w:val="22"/>
          <w:szCs w:val="22"/>
        </w:rPr>
        <w:t>requirement that the application must satisfy</w:t>
      </w:r>
      <w:r w:rsidRPr="00374C19">
        <w:rPr>
          <w:sz w:val="22"/>
          <w:szCs w:val="22"/>
        </w:rPr>
        <w:t xml:space="preserve"> </w:t>
      </w:r>
      <w:r>
        <w:rPr>
          <w:sz w:val="22"/>
          <w:szCs w:val="22"/>
        </w:rPr>
        <w:t>for a valid application</w:t>
      </w:r>
      <w:r w:rsidRPr="00374C19">
        <w:rPr>
          <w:sz w:val="22"/>
          <w:szCs w:val="22"/>
        </w:rPr>
        <w:t>;</w:t>
      </w:r>
    </w:p>
    <w:p w:rsidR="005C5E0A" w:rsidRPr="00374C19" w:rsidRDefault="005C5E0A" w:rsidP="005C5E0A">
      <w:pPr>
        <w:pStyle w:val="TextDotPoint"/>
        <w:ind w:left="284"/>
        <w:rPr>
          <w:sz w:val="22"/>
          <w:szCs w:val="22"/>
        </w:rPr>
      </w:pPr>
      <w:r>
        <w:rPr>
          <w:i/>
          <w:sz w:val="22"/>
          <w:szCs w:val="22"/>
        </w:rPr>
        <w:t>R</w:t>
      </w:r>
      <w:r w:rsidRPr="00374C19">
        <w:rPr>
          <w:i/>
          <w:sz w:val="22"/>
          <w:szCs w:val="22"/>
        </w:rPr>
        <w:t xml:space="preserve">eference </w:t>
      </w:r>
      <w:r>
        <w:rPr>
          <w:i/>
          <w:sz w:val="22"/>
          <w:szCs w:val="22"/>
        </w:rPr>
        <w:t xml:space="preserve">information </w:t>
      </w:r>
      <w:r w:rsidRPr="00374C19">
        <w:rPr>
          <w:sz w:val="22"/>
          <w:szCs w:val="22"/>
        </w:rPr>
        <w:t xml:space="preserve">sets out reference material that the assessor </w:t>
      </w:r>
      <w:r>
        <w:rPr>
          <w:sz w:val="22"/>
          <w:szCs w:val="22"/>
        </w:rPr>
        <w:t>refers to</w:t>
      </w:r>
      <w:r w:rsidRPr="00374C19">
        <w:rPr>
          <w:sz w:val="22"/>
          <w:szCs w:val="22"/>
        </w:rPr>
        <w:t xml:space="preserve"> when assessing the information provided by the applicant;</w:t>
      </w:r>
    </w:p>
    <w:p w:rsidR="005C5E0A" w:rsidRDefault="005C5E0A" w:rsidP="005C5E0A">
      <w:pPr>
        <w:pStyle w:val="TextDotPoint"/>
        <w:ind w:left="284"/>
      </w:pPr>
      <w:r w:rsidRPr="005C5E0A">
        <w:rPr>
          <w:sz w:val="22"/>
          <w:szCs w:val="22"/>
        </w:rPr>
        <w:t xml:space="preserve">The </w:t>
      </w:r>
      <w:r w:rsidRPr="00374C19">
        <w:rPr>
          <w:sz w:val="22"/>
          <w:szCs w:val="22"/>
        </w:rPr>
        <w:t xml:space="preserve">assessor considers </w:t>
      </w:r>
      <w:r w:rsidR="006373F8">
        <w:rPr>
          <w:sz w:val="22"/>
          <w:szCs w:val="22"/>
        </w:rPr>
        <w:t xml:space="preserve">whether </w:t>
      </w:r>
      <w:r w:rsidRPr="00374C19">
        <w:rPr>
          <w:sz w:val="22"/>
          <w:szCs w:val="22"/>
        </w:rPr>
        <w:t xml:space="preserve">the </w:t>
      </w:r>
      <w:r w:rsidR="006373F8">
        <w:rPr>
          <w:sz w:val="22"/>
          <w:szCs w:val="22"/>
        </w:rPr>
        <w:t>requirement</w:t>
      </w:r>
      <w:r w:rsidRPr="00374C19">
        <w:rPr>
          <w:sz w:val="22"/>
          <w:szCs w:val="22"/>
        </w:rPr>
        <w:t xml:space="preserve"> has been satisfied.</w:t>
      </w:r>
    </w:p>
    <w:p w:rsidR="005C5E0A" w:rsidRPr="00E8514A" w:rsidRDefault="005C5E0A" w:rsidP="00562E29">
      <w:pPr>
        <w:pStyle w:val="Heading4"/>
      </w:pPr>
      <w:r>
        <w:t>Table 1.1</w:t>
      </w:r>
    </w:p>
    <w:p w:rsidR="005C5E0A" w:rsidRDefault="00562E29" w:rsidP="00562E29">
      <w:pPr>
        <w:pStyle w:val="Heading5"/>
      </w:pPr>
      <w:r>
        <w:t>S</w:t>
      </w:r>
      <w:r w:rsidR="005C5E0A">
        <w:t xml:space="preserve">tep 2: </w:t>
      </w:r>
      <w:r w:rsidR="005C5E0A" w:rsidRPr="001B0CAA">
        <w:t xml:space="preserve">Determine </w:t>
      </w:r>
      <w:r w:rsidR="005C5E0A">
        <w:t>validity of application</w:t>
      </w:r>
    </w:p>
    <w:tbl>
      <w:tblPr>
        <w:tblpPr w:leftFromText="180" w:rightFromText="180" w:vertAnchor="text" w:tblpY="1"/>
        <w:tblOverlap w:val="never"/>
        <w:tblW w:w="980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000" w:firstRow="0" w:lastRow="0" w:firstColumn="0" w:lastColumn="0" w:noHBand="0" w:noVBand="0"/>
        <w:tblCaption w:val="Step 2: Determine validity of the application"/>
        <w:tblDescription w:val="Table that outlines factors that will be used to determine the validity of the application"/>
      </w:tblPr>
      <w:tblGrid>
        <w:gridCol w:w="5148"/>
        <w:gridCol w:w="3330"/>
        <w:gridCol w:w="1328"/>
      </w:tblGrid>
      <w:tr w:rsidR="005C5E0A" w:rsidRPr="001B0CAA" w:rsidTr="00A6323C">
        <w:trPr>
          <w:trHeight w:val="49"/>
          <w:tblHeader/>
        </w:trPr>
        <w:tc>
          <w:tcPr>
            <w:tcW w:w="2625" w:type="pct"/>
            <w:shd w:val="clear" w:color="auto" w:fill="00B0F0"/>
          </w:tcPr>
          <w:p w:rsidR="005C5E0A" w:rsidRPr="001B0CAA" w:rsidRDefault="005C5E0A" w:rsidP="005C5E0A">
            <w:pPr>
              <w:pStyle w:val="TableHeads"/>
              <w:keepNext w:val="0"/>
              <w:widowControl w:val="0"/>
              <w:rPr>
                <w:color w:val="FFFFFF" w:themeColor="background1"/>
                <w:lang w:bidi="x-none"/>
              </w:rPr>
            </w:pPr>
            <w:r>
              <w:rPr>
                <w:color w:val="FFFFFF" w:themeColor="background1"/>
                <w:lang w:bidi="x-none"/>
              </w:rPr>
              <w:t>Requirement</w:t>
            </w:r>
          </w:p>
        </w:tc>
        <w:tc>
          <w:tcPr>
            <w:tcW w:w="1698" w:type="pct"/>
            <w:shd w:val="clear" w:color="auto" w:fill="00B0F0"/>
          </w:tcPr>
          <w:p w:rsidR="005C5E0A" w:rsidRPr="001B0CAA" w:rsidRDefault="005C5E0A" w:rsidP="005C5E0A">
            <w:pPr>
              <w:pStyle w:val="TableHeads"/>
              <w:keepNext w:val="0"/>
              <w:widowControl w:val="0"/>
              <w:rPr>
                <w:color w:val="FFFFFF" w:themeColor="background1"/>
                <w:lang w:bidi="x-none"/>
              </w:rPr>
            </w:pPr>
            <w:r>
              <w:rPr>
                <w:color w:val="FFFFFF" w:themeColor="background1"/>
                <w:lang w:bidi="x-none"/>
              </w:rPr>
              <w:t>Reference information</w:t>
            </w:r>
          </w:p>
        </w:tc>
        <w:tc>
          <w:tcPr>
            <w:tcW w:w="677" w:type="pct"/>
            <w:shd w:val="clear" w:color="auto" w:fill="00B0F0"/>
          </w:tcPr>
          <w:p w:rsidR="005C5E0A" w:rsidRDefault="005C5E0A" w:rsidP="005C5E0A">
            <w:pPr>
              <w:pStyle w:val="TableHeads"/>
              <w:keepNext w:val="0"/>
              <w:widowControl w:val="0"/>
              <w:rPr>
                <w:color w:val="FFFFFF" w:themeColor="background1"/>
                <w:lang w:bidi="x-none"/>
              </w:rPr>
            </w:pPr>
            <w:r>
              <w:rPr>
                <w:color w:val="FFFFFF" w:themeColor="background1"/>
                <w:lang w:bidi="x-none"/>
              </w:rPr>
              <w:t xml:space="preserve">Passes </w:t>
            </w:r>
            <w:r w:rsidRPr="005960B8">
              <w:rPr>
                <w:color w:val="FFFFFF" w:themeColor="background1"/>
                <w:lang w:bidi="x-none"/>
              </w:rPr>
              <w:t>(</w:t>
            </w:r>
            <w:r>
              <w:rPr>
                <w:rFonts w:cs="Arial"/>
                <w:color w:val="FFFFFF" w:themeColor="background1"/>
                <w:lang w:bidi="x-none"/>
              </w:rPr>
              <w:t>Y/N</w:t>
            </w:r>
            <w:r>
              <w:rPr>
                <w:color w:val="FFFFFF" w:themeColor="background1"/>
                <w:lang w:bidi="x-none"/>
              </w:rPr>
              <w:t>)</w:t>
            </w:r>
          </w:p>
        </w:tc>
      </w:tr>
      <w:tr w:rsidR="005C5E0A" w:rsidRPr="00085199" w:rsidTr="00A6323C">
        <w:trPr>
          <w:trHeight w:val="27"/>
          <w:tblHeader/>
        </w:trPr>
        <w:tc>
          <w:tcPr>
            <w:tcW w:w="2625" w:type="pct"/>
            <w:shd w:val="pct50" w:color="E5DBD2" w:fill="FFFFFF"/>
          </w:tcPr>
          <w:p w:rsidR="005C5E0A" w:rsidRPr="00085199" w:rsidRDefault="005C5E0A" w:rsidP="005C5E0A">
            <w:pPr>
              <w:spacing w:before="120" w:after="120"/>
              <w:ind w:left="34"/>
              <w:rPr>
                <w:rFonts w:cs="Arial"/>
                <w:sz w:val="18"/>
                <w:szCs w:val="18"/>
              </w:rPr>
            </w:pPr>
            <w:r>
              <w:rPr>
                <w:rFonts w:cs="Arial"/>
                <w:sz w:val="18"/>
                <w:szCs w:val="18"/>
              </w:rPr>
              <w:t xml:space="preserve">1.2.1 </w:t>
            </w:r>
            <w:r w:rsidRPr="00085199">
              <w:rPr>
                <w:rFonts w:cs="Arial"/>
                <w:sz w:val="18"/>
                <w:szCs w:val="18"/>
              </w:rPr>
              <w:t>Is the application in the approved form?</w:t>
            </w:r>
          </w:p>
        </w:tc>
        <w:tc>
          <w:tcPr>
            <w:tcW w:w="1698" w:type="pct"/>
            <w:shd w:val="pct50" w:color="E5DBD2" w:fill="FFFFFF"/>
          </w:tcPr>
          <w:p w:rsidR="005C5E0A" w:rsidRPr="00085199" w:rsidRDefault="005C5E0A" w:rsidP="005C5E0A">
            <w:pPr>
              <w:pStyle w:val="TableText"/>
              <w:keepNext w:val="0"/>
              <w:widowControl w:val="0"/>
              <w:ind w:left="40"/>
              <w:rPr>
                <w:rFonts w:cs="Arial"/>
                <w:szCs w:val="18"/>
                <w:lang w:bidi="x-none"/>
              </w:rPr>
            </w:pPr>
            <w:r w:rsidRPr="00085199">
              <w:rPr>
                <w:rFonts w:cs="Arial"/>
                <w:szCs w:val="18"/>
                <w:lang w:bidi="x-none"/>
              </w:rPr>
              <w:t xml:space="preserve">Sight application. </w:t>
            </w:r>
          </w:p>
        </w:tc>
        <w:tc>
          <w:tcPr>
            <w:tcW w:w="677" w:type="pct"/>
            <w:shd w:val="pct50" w:color="E5DBD2" w:fill="FFFFFF"/>
          </w:tcPr>
          <w:p w:rsidR="005C5E0A" w:rsidRPr="00085199" w:rsidRDefault="005C5E0A" w:rsidP="005C5E0A">
            <w:pPr>
              <w:pStyle w:val="TableText"/>
              <w:keepNext w:val="0"/>
              <w:widowControl w:val="0"/>
              <w:ind w:left="0"/>
              <w:rPr>
                <w:rFonts w:cs="Arial"/>
                <w:szCs w:val="18"/>
                <w:lang w:bidi="x-none"/>
              </w:rPr>
            </w:pPr>
          </w:p>
        </w:tc>
      </w:tr>
      <w:tr w:rsidR="005C5E0A" w:rsidRPr="00085199" w:rsidTr="00A6323C">
        <w:trPr>
          <w:trHeight w:val="27"/>
          <w:tblHeader/>
        </w:trPr>
        <w:tc>
          <w:tcPr>
            <w:tcW w:w="2625" w:type="pct"/>
            <w:shd w:val="pct50" w:color="E5DBD2" w:fill="FFFFFF"/>
          </w:tcPr>
          <w:p w:rsidR="005C5E0A" w:rsidRPr="00085199" w:rsidRDefault="005C5E0A" w:rsidP="005C5E0A">
            <w:pPr>
              <w:spacing w:before="120" w:after="120"/>
              <w:rPr>
                <w:rFonts w:cs="Arial"/>
                <w:sz w:val="18"/>
                <w:szCs w:val="18"/>
              </w:rPr>
            </w:pPr>
            <w:r>
              <w:rPr>
                <w:rFonts w:cs="Arial"/>
                <w:sz w:val="18"/>
                <w:szCs w:val="18"/>
              </w:rPr>
              <w:t xml:space="preserve">1.2.2 </w:t>
            </w:r>
            <w:r w:rsidRPr="00085199">
              <w:rPr>
                <w:rFonts w:cs="Arial"/>
                <w:sz w:val="18"/>
                <w:szCs w:val="18"/>
              </w:rPr>
              <w:t>Is the applicant an ‘approved provider’?</w:t>
            </w:r>
          </w:p>
        </w:tc>
        <w:tc>
          <w:tcPr>
            <w:tcW w:w="1698" w:type="pct"/>
            <w:shd w:val="pct50" w:color="E5DBD2" w:fill="FFFFFF"/>
          </w:tcPr>
          <w:p w:rsidR="005C5E0A" w:rsidRPr="00085199" w:rsidRDefault="005C5E0A" w:rsidP="005C5E0A">
            <w:pPr>
              <w:pStyle w:val="TableText"/>
              <w:keepNext w:val="0"/>
              <w:widowControl w:val="0"/>
              <w:ind w:left="40"/>
              <w:rPr>
                <w:rFonts w:cs="Arial"/>
                <w:szCs w:val="18"/>
                <w:lang w:bidi="x-none"/>
              </w:rPr>
            </w:pPr>
            <w:r>
              <w:rPr>
                <w:rFonts w:cs="Arial"/>
                <w:szCs w:val="18"/>
              </w:rPr>
              <w:t>ACPC database</w:t>
            </w:r>
          </w:p>
        </w:tc>
        <w:tc>
          <w:tcPr>
            <w:tcW w:w="677" w:type="pct"/>
            <w:shd w:val="pct50" w:color="E5DBD2" w:fill="FFFFFF"/>
          </w:tcPr>
          <w:p w:rsidR="005C5E0A" w:rsidRPr="00085199" w:rsidRDefault="005C5E0A" w:rsidP="005C5E0A">
            <w:pPr>
              <w:pStyle w:val="TableText"/>
              <w:keepNext w:val="0"/>
              <w:widowControl w:val="0"/>
              <w:ind w:left="0"/>
              <w:rPr>
                <w:rFonts w:cs="Arial"/>
                <w:szCs w:val="18"/>
                <w:lang w:bidi="x-none"/>
              </w:rPr>
            </w:pPr>
          </w:p>
        </w:tc>
      </w:tr>
      <w:tr w:rsidR="005C5E0A" w:rsidRPr="00085199" w:rsidTr="00A6323C">
        <w:trPr>
          <w:trHeight w:val="27"/>
          <w:tblHeader/>
        </w:trPr>
        <w:tc>
          <w:tcPr>
            <w:tcW w:w="2625" w:type="pct"/>
            <w:shd w:val="pct50" w:color="E5DBD2" w:fill="FFFFFF"/>
          </w:tcPr>
          <w:p w:rsidR="005C5E0A" w:rsidRPr="00085199" w:rsidRDefault="005C5E0A" w:rsidP="005C5E0A">
            <w:pPr>
              <w:spacing w:before="120" w:after="120"/>
              <w:rPr>
                <w:rFonts w:cs="Arial"/>
                <w:sz w:val="18"/>
                <w:szCs w:val="18"/>
              </w:rPr>
            </w:pPr>
            <w:r>
              <w:rPr>
                <w:rFonts w:cs="Arial"/>
                <w:sz w:val="18"/>
                <w:szCs w:val="18"/>
              </w:rPr>
              <w:t xml:space="preserve">1.2.3 </w:t>
            </w:r>
            <w:r w:rsidRPr="00085199">
              <w:rPr>
                <w:rFonts w:cs="Arial"/>
                <w:sz w:val="18"/>
                <w:szCs w:val="18"/>
              </w:rPr>
              <w:t xml:space="preserve">Does the application relate to a residential care service </w:t>
            </w:r>
            <w:r w:rsidRPr="00884D44">
              <w:rPr>
                <w:rFonts w:cs="Arial"/>
                <w:sz w:val="18"/>
                <w:szCs w:val="18"/>
              </w:rPr>
              <w:t>or a flexible service</w:t>
            </w:r>
            <w:r>
              <w:rPr>
                <w:rFonts w:cs="Arial"/>
                <w:sz w:val="18"/>
                <w:szCs w:val="18"/>
              </w:rPr>
              <w:t xml:space="preserve"> </w:t>
            </w:r>
            <w:r w:rsidRPr="00085199">
              <w:rPr>
                <w:rFonts w:cs="Arial"/>
                <w:sz w:val="18"/>
                <w:szCs w:val="18"/>
              </w:rPr>
              <w:t xml:space="preserve">or a distinct </w:t>
            </w:r>
            <w:r>
              <w:rPr>
                <w:rFonts w:cs="Arial"/>
                <w:sz w:val="18"/>
                <w:szCs w:val="18"/>
              </w:rPr>
              <w:t>part</w:t>
            </w:r>
            <w:r w:rsidRPr="00085199">
              <w:rPr>
                <w:rFonts w:cs="Arial"/>
                <w:sz w:val="18"/>
                <w:szCs w:val="18"/>
              </w:rPr>
              <w:t xml:space="preserve"> of such a service?</w:t>
            </w:r>
          </w:p>
        </w:tc>
        <w:tc>
          <w:tcPr>
            <w:tcW w:w="1698" w:type="pct"/>
            <w:shd w:val="pct50" w:color="E5DBD2" w:fill="FFFFFF"/>
          </w:tcPr>
          <w:p w:rsidR="005C5E0A" w:rsidRPr="00085199" w:rsidRDefault="005C5E0A" w:rsidP="005C5E0A">
            <w:pPr>
              <w:pStyle w:val="TableText"/>
              <w:keepNext w:val="0"/>
              <w:widowControl w:val="0"/>
              <w:ind w:left="40"/>
              <w:rPr>
                <w:rFonts w:cs="Arial"/>
                <w:szCs w:val="18"/>
                <w:lang w:bidi="x-none"/>
              </w:rPr>
            </w:pPr>
            <w:r>
              <w:rPr>
                <w:rFonts w:cs="Arial"/>
                <w:szCs w:val="18"/>
              </w:rPr>
              <w:t xml:space="preserve">ACPC database </w:t>
            </w:r>
          </w:p>
        </w:tc>
        <w:tc>
          <w:tcPr>
            <w:tcW w:w="677" w:type="pct"/>
            <w:shd w:val="pct50" w:color="E5DBD2" w:fill="FFFFFF"/>
          </w:tcPr>
          <w:p w:rsidR="005C5E0A" w:rsidRPr="00085199" w:rsidRDefault="005C5E0A" w:rsidP="005C5E0A">
            <w:pPr>
              <w:pStyle w:val="TableText"/>
              <w:keepNext w:val="0"/>
              <w:widowControl w:val="0"/>
              <w:ind w:left="0"/>
              <w:rPr>
                <w:rFonts w:cs="Arial"/>
                <w:szCs w:val="18"/>
                <w:lang w:bidi="x-none"/>
              </w:rPr>
            </w:pPr>
          </w:p>
        </w:tc>
      </w:tr>
      <w:tr w:rsidR="005C5E0A" w:rsidRPr="00085199" w:rsidTr="00A6323C">
        <w:trPr>
          <w:trHeight w:val="27"/>
          <w:tblHeader/>
        </w:trPr>
        <w:tc>
          <w:tcPr>
            <w:tcW w:w="2625" w:type="pct"/>
            <w:shd w:val="pct50" w:color="E5DBD2" w:fill="FFFFFF"/>
          </w:tcPr>
          <w:p w:rsidR="005C5E0A" w:rsidRPr="00884D44" w:rsidRDefault="005C5E0A" w:rsidP="005C5E0A">
            <w:pPr>
              <w:ind w:firstLine="34"/>
              <w:rPr>
                <w:rFonts w:cs="Arial"/>
                <w:sz w:val="18"/>
                <w:szCs w:val="18"/>
              </w:rPr>
            </w:pPr>
            <w:r>
              <w:rPr>
                <w:rFonts w:cs="Arial"/>
                <w:sz w:val="18"/>
                <w:szCs w:val="18"/>
              </w:rPr>
              <w:t xml:space="preserve">1.2.4 </w:t>
            </w:r>
            <w:r w:rsidRPr="00085199">
              <w:rPr>
                <w:rFonts w:cs="Arial"/>
                <w:sz w:val="18"/>
                <w:szCs w:val="18"/>
              </w:rPr>
              <w:t>Does the application relate to room/rooms in which a deci</w:t>
            </w:r>
            <w:r>
              <w:rPr>
                <w:rFonts w:cs="Arial"/>
                <w:sz w:val="18"/>
                <w:szCs w:val="18"/>
              </w:rPr>
              <w:t>sion has been made in the last 4</w:t>
            </w:r>
            <w:r w:rsidRPr="00085199">
              <w:rPr>
                <w:rFonts w:cs="Arial"/>
                <w:sz w:val="18"/>
                <w:szCs w:val="18"/>
              </w:rPr>
              <w:t xml:space="preserve"> months?</w:t>
            </w:r>
            <w:r>
              <w:rPr>
                <w:rFonts w:cs="Arial"/>
                <w:sz w:val="18"/>
                <w:szCs w:val="18"/>
              </w:rPr>
              <w:t xml:space="preserve"> Note that if it does, the application is not valid.</w:t>
            </w:r>
          </w:p>
        </w:tc>
        <w:tc>
          <w:tcPr>
            <w:tcW w:w="1698" w:type="pct"/>
            <w:shd w:val="pct50" w:color="E5DBD2" w:fill="FFFFFF"/>
          </w:tcPr>
          <w:p w:rsidR="005C5E0A" w:rsidRPr="00085199" w:rsidRDefault="005C5E0A" w:rsidP="005C5E0A">
            <w:pPr>
              <w:spacing w:before="120" w:after="120"/>
              <w:rPr>
                <w:rFonts w:cs="Arial"/>
                <w:sz w:val="18"/>
                <w:szCs w:val="18"/>
              </w:rPr>
            </w:pPr>
            <w:r>
              <w:rPr>
                <w:rFonts w:cs="Arial"/>
                <w:sz w:val="18"/>
                <w:szCs w:val="18"/>
                <w:lang w:bidi="x-none"/>
              </w:rPr>
              <w:t>ACPC database</w:t>
            </w:r>
          </w:p>
        </w:tc>
        <w:tc>
          <w:tcPr>
            <w:tcW w:w="677" w:type="pct"/>
            <w:shd w:val="pct50" w:color="E5DBD2" w:fill="FFFFFF"/>
          </w:tcPr>
          <w:p w:rsidR="005C5E0A" w:rsidRPr="00085199" w:rsidRDefault="005C5E0A" w:rsidP="005C5E0A">
            <w:pPr>
              <w:pStyle w:val="TableText"/>
              <w:keepNext w:val="0"/>
              <w:widowControl w:val="0"/>
              <w:ind w:left="0"/>
              <w:rPr>
                <w:rFonts w:cs="Arial"/>
                <w:szCs w:val="18"/>
                <w:lang w:bidi="x-none"/>
              </w:rPr>
            </w:pPr>
          </w:p>
        </w:tc>
      </w:tr>
    </w:tbl>
    <w:p w:rsidR="005C5E0A" w:rsidRDefault="005C5E0A" w:rsidP="005C5E0A">
      <w:pPr>
        <w:pStyle w:val="TextDotPoint"/>
        <w:numPr>
          <w:ilvl w:val="0"/>
          <w:numId w:val="0"/>
        </w:numPr>
        <w:spacing w:after="0"/>
        <w:ind w:left="360" w:hanging="360"/>
        <w:rPr>
          <w:sz w:val="22"/>
          <w:szCs w:val="22"/>
        </w:rPr>
      </w:pPr>
      <w:r>
        <w:rPr>
          <w:sz w:val="22"/>
          <w:szCs w:val="22"/>
        </w:rPr>
        <w:lastRenderedPageBreak/>
        <w:t>Where all requirements to make a valid application in Step 2</w:t>
      </w:r>
      <w:r w:rsidRPr="0068137A">
        <w:rPr>
          <w:sz w:val="22"/>
          <w:szCs w:val="22"/>
        </w:rPr>
        <w:t xml:space="preserve"> have been satisfied, </w:t>
      </w:r>
      <w:r>
        <w:rPr>
          <w:sz w:val="22"/>
          <w:szCs w:val="22"/>
        </w:rPr>
        <w:t xml:space="preserve">assessors will </w:t>
      </w:r>
    </w:p>
    <w:p w:rsidR="005C5E0A" w:rsidRDefault="005C5E0A" w:rsidP="005C5E0A">
      <w:pPr>
        <w:pStyle w:val="TextDotPoint"/>
        <w:numPr>
          <w:ilvl w:val="0"/>
          <w:numId w:val="0"/>
        </w:numPr>
        <w:spacing w:after="0"/>
        <w:ind w:left="360" w:hanging="360"/>
        <w:rPr>
          <w:sz w:val="22"/>
          <w:szCs w:val="22"/>
        </w:rPr>
      </w:pPr>
      <w:proofErr w:type="gramStart"/>
      <w:r>
        <w:rPr>
          <w:sz w:val="22"/>
          <w:szCs w:val="22"/>
        </w:rPr>
        <w:t>proceed</w:t>
      </w:r>
      <w:proofErr w:type="gramEnd"/>
      <w:r>
        <w:rPr>
          <w:sz w:val="22"/>
          <w:szCs w:val="22"/>
        </w:rPr>
        <w:t xml:space="preserve"> to Step 3</w:t>
      </w:r>
      <w:r w:rsidRPr="0068137A">
        <w:rPr>
          <w:sz w:val="22"/>
          <w:szCs w:val="22"/>
        </w:rPr>
        <w:t>.</w:t>
      </w:r>
      <w:r>
        <w:rPr>
          <w:sz w:val="22"/>
          <w:szCs w:val="22"/>
        </w:rPr>
        <w:t xml:space="preserve"> </w:t>
      </w:r>
    </w:p>
    <w:p w:rsidR="005C5E0A" w:rsidRDefault="005C5E0A" w:rsidP="005C5E0A">
      <w:pPr>
        <w:pStyle w:val="TextDotPoint"/>
        <w:numPr>
          <w:ilvl w:val="0"/>
          <w:numId w:val="0"/>
        </w:numPr>
        <w:spacing w:after="0"/>
        <w:ind w:left="360" w:hanging="360"/>
        <w:rPr>
          <w:sz w:val="22"/>
          <w:szCs w:val="22"/>
        </w:rPr>
      </w:pPr>
    </w:p>
    <w:p w:rsidR="005C5E0A" w:rsidRPr="00ED1C9F" w:rsidRDefault="005C5E0A" w:rsidP="005C5E0A">
      <w:pPr>
        <w:rPr>
          <w:sz w:val="22"/>
          <w:szCs w:val="22"/>
        </w:rPr>
      </w:pPr>
      <w:r w:rsidRPr="0068137A">
        <w:rPr>
          <w:sz w:val="22"/>
          <w:szCs w:val="22"/>
        </w:rPr>
        <w:t>Where all</w:t>
      </w:r>
      <w:r>
        <w:rPr>
          <w:sz w:val="22"/>
          <w:szCs w:val="22"/>
        </w:rPr>
        <w:t xml:space="preserve"> criteria to make a valid application</w:t>
      </w:r>
      <w:r w:rsidRPr="0068137A">
        <w:rPr>
          <w:sz w:val="22"/>
          <w:szCs w:val="22"/>
        </w:rPr>
        <w:t xml:space="preserve"> have not been satisfied, the assessor </w:t>
      </w:r>
      <w:r>
        <w:rPr>
          <w:sz w:val="22"/>
          <w:szCs w:val="22"/>
        </w:rPr>
        <w:t>should draft reasons for this decision in a letter for the Commissioner’s signature, if approved.</w:t>
      </w:r>
    </w:p>
    <w:p w:rsidR="005C5E0A" w:rsidRDefault="005C5E0A" w:rsidP="00884D44"/>
    <w:p w:rsidR="00884D44" w:rsidRPr="00FA05B8" w:rsidRDefault="005C5E0A" w:rsidP="00562E29">
      <w:pPr>
        <w:pStyle w:val="Heading4"/>
      </w:pPr>
      <w:bookmarkStart w:id="15" w:name="_Toc377471344"/>
      <w:r>
        <w:t>Step 3</w:t>
      </w:r>
      <w:r w:rsidR="00884D44" w:rsidRPr="00FA05B8">
        <w:t>: Priority applications and critical dates</w:t>
      </w:r>
      <w:r w:rsidR="00884D44">
        <w:t xml:space="preserve"> (Day 1)</w:t>
      </w:r>
      <w:bookmarkEnd w:id="15"/>
    </w:p>
    <w:p w:rsidR="00884D44" w:rsidRDefault="00884D44" w:rsidP="00884D44"/>
    <w:p w:rsidR="00884D44" w:rsidRPr="00374C19" w:rsidRDefault="005C5E0A" w:rsidP="00884D44">
      <w:pPr>
        <w:rPr>
          <w:sz w:val="22"/>
          <w:szCs w:val="22"/>
        </w:rPr>
      </w:pPr>
      <w:r>
        <w:rPr>
          <w:sz w:val="22"/>
          <w:szCs w:val="22"/>
        </w:rPr>
        <w:t>Assessors are to review</w:t>
      </w:r>
      <w:r w:rsidR="00884D44" w:rsidRPr="00374C19">
        <w:rPr>
          <w:sz w:val="22"/>
          <w:szCs w:val="22"/>
        </w:rPr>
        <w:t xml:space="preserve"> </w:t>
      </w:r>
      <w:r>
        <w:rPr>
          <w:sz w:val="22"/>
          <w:szCs w:val="22"/>
        </w:rPr>
        <w:t>an</w:t>
      </w:r>
      <w:r w:rsidR="00884D44" w:rsidRPr="00374C19">
        <w:rPr>
          <w:sz w:val="22"/>
          <w:szCs w:val="22"/>
        </w:rPr>
        <w:t xml:space="preserve"> application as it is received to determine whether it is an application that has a verifiable critical date which requires immediate assessment (such as an application for a proposed new facility and where approval of the application is required to secure finance or acquire land, or where other factors relevant to timeliness may impact on an applicant’s business operations).</w:t>
      </w:r>
    </w:p>
    <w:p w:rsidR="00884D44" w:rsidRPr="00374C19" w:rsidRDefault="00884D44" w:rsidP="00884D44">
      <w:pPr>
        <w:rPr>
          <w:sz w:val="22"/>
          <w:szCs w:val="22"/>
        </w:rPr>
      </w:pPr>
    </w:p>
    <w:p w:rsidR="00884D44" w:rsidRDefault="00884D44" w:rsidP="00884D44">
      <w:pPr>
        <w:rPr>
          <w:sz w:val="22"/>
          <w:szCs w:val="22"/>
        </w:rPr>
      </w:pPr>
      <w:r w:rsidRPr="00374C19">
        <w:rPr>
          <w:sz w:val="22"/>
          <w:szCs w:val="22"/>
        </w:rPr>
        <w:t>Where an application is as described above, assessors are to give these applications first priority. The priority applications are to be identified as “Priority” in the workflow, accompanied by the critical date</w:t>
      </w:r>
      <w:r w:rsidR="00B50193">
        <w:rPr>
          <w:sz w:val="22"/>
          <w:szCs w:val="22"/>
        </w:rPr>
        <w:t xml:space="preserve"> and the basis for the criticality</w:t>
      </w:r>
      <w:r>
        <w:rPr>
          <w:sz w:val="22"/>
          <w:szCs w:val="22"/>
        </w:rPr>
        <w:t>, which is to be recorded in the database</w:t>
      </w:r>
      <w:r w:rsidRPr="00374C19">
        <w:rPr>
          <w:sz w:val="22"/>
          <w:szCs w:val="22"/>
        </w:rPr>
        <w:t xml:space="preserve">. </w:t>
      </w:r>
    </w:p>
    <w:p w:rsidR="00884D44" w:rsidRDefault="00884D44" w:rsidP="005C5E0A">
      <w:pPr>
        <w:pStyle w:val="TextDotPoint"/>
        <w:numPr>
          <w:ilvl w:val="0"/>
          <w:numId w:val="0"/>
        </w:numPr>
      </w:pPr>
    </w:p>
    <w:p w:rsidR="00884D44" w:rsidRDefault="00B50193" w:rsidP="00562E29">
      <w:pPr>
        <w:pStyle w:val="Heading4"/>
      </w:pPr>
      <w:bookmarkStart w:id="16" w:name="_Toc377471346"/>
      <w:r>
        <w:t>Step 4</w:t>
      </w:r>
      <w:r w:rsidR="00884D44">
        <w:t>: Initial assessment (Day 2)</w:t>
      </w:r>
      <w:bookmarkEnd w:id="16"/>
    </w:p>
    <w:p w:rsidR="00884D44" w:rsidRDefault="00884D44" w:rsidP="00884D44">
      <w:pPr>
        <w:rPr>
          <w:rFonts w:cs="Arial"/>
          <w:i/>
        </w:rPr>
      </w:pPr>
    </w:p>
    <w:p w:rsidR="00884D44" w:rsidRDefault="00884D44" w:rsidP="00884D44">
      <w:pPr>
        <w:rPr>
          <w:rFonts w:cs="Arial"/>
          <w:sz w:val="22"/>
          <w:szCs w:val="22"/>
        </w:rPr>
      </w:pPr>
      <w:r w:rsidRPr="0068137A">
        <w:rPr>
          <w:rFonts w:cs="Arial"/>
          <w:sz w:val="22"/>
          <w:szCs w:val="22"/>
        </w:rPr>
        <w:t xml:space="preserve">At this step, </w:t>
      </w:r>
      <w:r>
        <w:rPr>
          <w:rFonts w:cs="Arial"/>
          <w:sz w:val="22"/>
          <w:szCs w:val="22"/>
        </w:rPr>
        <w:t xml:space="preserve">the </w:t>
      </w:r>
      <w:r w:rsidRPr="0068137A">
        <w:rPr>
          <w:rFonts w:cs="Arial"/>
          <w:sz w:val="22"/>
          <w:szCs w:val="22"/>
        </w:rPr>
        <w:t xml:space="preserve">assessor </w:t>
      </w:r>
      <w:r>
        <w:rPr>
          <w:rFonts w:cs="Arial"/>
          <w:sz w:val="22"/>
          <w:szCs w:val="22"/>
        </w:rPr>
        <w:t xml:space="preserve">is </w:t>
      </w:r>
      <w:r w:rsidRPr="0068137A">
        <w:rPr>
          <w:rFonts w:cs="Arial"/>
          <w:sz w:val="22"/>
          <w:szCs w:val="22"/>
        </w:rPr>
        <w:t xml:space="preserve">to </w:t>
      </w:r>
      <w:r w:rsidR="006420DF">
        <w:rPr>
          <w:rFonts w:cs="Arial"/>
          <w:sz w:val="22"/>
          <w:szCs w:val="22"/>
        </w:rPr>
        <w:t xml:space="preserve">undertake a high level </w:t>
      </w:r>
      <w:r w:rsidRPr="0068137A">
        <w:rPr>
          <w:rFonts w:cs="Arial"/>
          <w:sz w:val="22"/>
          <w:szCs w:val="22"/>
        </w:rPr>
        <w:t xml:space="preserve">review </w:t>
      </w:r>
      <w:r w:rsidR="006420DF">
        <w:rPr>
          <w:rFonts w:cs="Arial"/>
          <w:sz w:val="22"/>
          <w:szCs w:val="22"/>
        </w:rPr>
        <w:t xml:space="preserve">of </w:t>
      </w:r>
      <w:r w:rsidRPr="0068137A">
        <w:rPr>
          <w:rFonts w:cs="Arial"/>
          <w:sz w:val="22"/>
          <w:szCs w:val="22"/>
        </w:rPr>
        <w:t>the application in its entirety to determine if sufficient information has been provided to make an assessment and identify what further information will be required</w:t>
      </w:r>
      <w:r>
        <w:rPr>
          <w:rFonts w:cs="Arial"/>
          <w:sz w:val="22"/>
          <w:szCs w:val="22"/>
        </w:rPr>
        <w:t>, if any</w:t>
      </w:r>
      <w:r w:rsidRPr="0068137A">
        <w:rPr>
          <w:rFonts w:cs="Arial"/>
          <w:sz w:val="22"/>
          <w:szCs w:val="22"/>
        </w:rPr>
        <w:t xml:space="preserve">. </w:t>
      </w:r>
    </w:p>
    <w:p w:rsidR="00884D44" w:rsidRPr="00374C19" w:rsidRDefault="00884D44" w:rsidP="00884D44">
      <w:pPr>
        <w:rPr>
          <w:sz w:val="22"/>
          <w:szCs w:val="22"/>
        </w:rPr>
      </w:pPr>
    </w:p>
    <w:p w:rsidR="00884D44" w:rsidRPr="00ED1C9F" w:rsidRDefault="00884D44" w:rsidP="00884D44">
      <w:pPr>
        <w:rPr>
          <w:sz w:val="22"/>
          <w:szCs w:val="22"/>
        </w:rPr>
      </w:pPr>
      <w:r w:rsidRPr="00374C19">
        <w:rPr>
          <w:sz w:val="22"/>
          <w:szCs w:val="22"/>
        </w:rPr>
        <w:t>Where an application appears to require the provision of further information and where a criti</w:t>
      </w:r>
      <w:r w:rsidR="005C5E0A">
        <w:rPr>
          <w:sz w:val="22"/>
          <w:szCs w:val="22"/>
        </w:rPr>
        <w:t>cal date as identified in Step 3</w:t>
      </w:r>
      <w:r w:rsidRPr="00374C19">
        <w:rPr>
          <w:sz w:val="22"/>
          <w:szCs w:val="22"/>
        </w:rPr>
        <w:t xml:space="preserve"> above applies, assessors are to give these applications first priority in the workflow. </w:t>
      </w:r>
      <w:r w:rsidR="005C5E0A">
        <w:rPr>
          <w:sz w:val="22"/>
          <w:szCs w:val="22"/>
        </w:rPr>
        <w:t>S</w:t>
      </w:r>
      <w:r w:rsidRPr="00374C19">
        <w:rPr>
          <w:sz w:val="22"/>
          <w:szCs w:val="22"/>
        </w:rPr>
        <w:t xml:space="preserve">teps in the </w:t>
      </w:r>
      <w:r w:rsidR="005C5E0A">
        <w:rPr>
          <w:sz w:val="22"/>
          <w:szCs w:val="22"/>
        </w:rPr>
        <w:t xml:space="preserve">high level </w:t>
      </w:r>
      <w:r w:rsidRPr="00374C19">
        <w:rPr>
          <w:sz w:val="22"/>
          <w:szCs w:val="22"/>
        </w:rPr>
        <w:t>review of information p</w:t>
      </w:r>
      <w:r>
        <w:rPr>
          <w:sz w:val="22"/>
          <w:szCs w:val="22"/>
        </w:rPr>
        <w:t xml:space="preserve">rovided are </w:t>
      </w:r>
      <w:r w:rsidR="005C5E0A">
        <w:rPr>
          <w:sz w:val="22"/>
          <w:szCs w:val="22"/>
        </w:rPr>
        <w:t>outlined below</w:t>
      </w:r>
      <w:r>
        <w:rPr>
          <w:sz w:val="22"/>
          <w:szCs w:val="22"/>
        </w:rPr>
        <w:t>.</w:t>
      </w:r>
    </w:p>
    <w:p w:rsidR="00884D44" w:rsidRPr="00C06ED1" w:rsidRDefault="00884D44" w:rsidP="00884D44">
      <w:pPr>
        <w:spacing w:before="120" w:after="120"/>
        <w:rPr>
          <w:rFonts w:cs="Arial"/>
          <w:color w:val="000000"/>
          <w:sz w:val="22"/>
          <w:szCs w:val="22"/>
        </w:rPr>
      </w:pPr>
      <w:r w:rsidRPr="00C06ED1">
        <w:rPr>
          <w:rFonts w:cs="Arial"/>
          <w:color w:val="000000"/>
          <w:sz w:val="22"/>
          <w:szCs w:val="22"/>
        </w:rPr>
        <w:t xml:space="preserve">The </w:t>
      </w:r>
      <w:r w:rsidRPr="00021689">
        <w:rPr>
          <w:rFonts w:cs="Arial"/>
          <w:i/>
          <w:color w:val="000000"/>
          <w:sz w:val="22"/>
          <w:szCs w:val="22"/>
        </w:rPr>
        <w:t>Fees and Payments Principles</w:t>
      </w:r>
      <w:r>
        <w:rPr>
          <w:rFonts w:cs="Arial"/>
          <w:i/>
          <w:color w:val="000000"/>
          <w:sz w:val="22"/>
          <w:szCs w:val="22"/>
        </w:rPr>
        <w:t xml:space="preserve"> 2014</w:t>
      </w:r>
      <w:r w:rsidRPr="00C06ED1">
        <w:rPr>
          <w:rFonts w:cs="Arial"/>
          <w:i/>
          <w:color w:val="000000"/>
          <w:sz w:val="22"/>
          <w:szCs w:val="22"/>
        </w:rPr>
        <w:t xml:space="preserve"> </w:t>
      </w:r>
      <w:r w:rsidRPr="00C06ED1">
        <w:rPr>
          <w:rFonts w:cs="Arial"/>
          <w:color w:val="000000"/>
          <w:sz w:val="22"/>
          <w:szCs w:val="22"/>
        </w:rPr>
        <w:t xml:space="preserve">set out the factors the Commissioner </w:t>
      </w:r>
      <w:r w:rsidRPr="00C06ED1">
        <w:rPr>
          <w:rFonts w:cs="Arial"/>
          <w:color w:val="000000"/>
          <w:sz w:val="22"/>
          <w:szCs w:val="22"/>
          <w:u w:val="single"/>
        </w:rPr>
        <w:t xml:space="preserve">must </w:t>
      </w:r>
      <w:r w:rsidRPr="00C06ED1">
        <w:rPr>
          <w:rFonts w:cs="Arial"/>
          <w:color w:val="000000"/>
          <w:sz w:val="22"/>
          <w:szCs w:val="22"/>
        </w:rPr>
        <w:t xml:space="preserve">consider when deciding whether to approve a price. Therefore, the initial assessment should confirm whether or not sufficient information has been provided to enable the Commissioner to sufficiently consider the </w:t>
      </w:r>
      <w:r w:rsidR="000F3590">
        <w:rPr>
          <w:rFonts w:cs="Arial"/>
          <w:color w:val="000000"/>
          <w:sz w:val="22"/>
          <w:szCs w:val="22"/>
        </w:rPr>
        <w:t>factor</w:t>
      </w:r>
      <w:r w:rsidRPr="00C06ED1">
        <w:rPr>
          <w:rFonts w:cs="Arial"/>
          <w:color w:val="000000"/>
          <w:sz w:val="22"/>
          <w:szCs w:val="22"/>
        </w:rPr>
        <w:t>s</w:t>
      </w:r>
      <w:r w:rsidR="000F3590">
        <w:rPr>
          <w:rFonts w:cs="Arial"/>
          <w:color w:val="000000"/>
          <w:sz w:val="22"/>
          <w:szCs w:val="22"/>
        </w:rPr>
        <w:t xml:space="preserve"> required to make a decision</w:t>
      </w:r>
      <w:r w:rsidRPr="00C06ED1">
        <w:rPr>
          <w:rFonts w:cs="Arial"/>
          <w:color w:val="000000"/>
          <w:sz w:val="22"/>
          <w:szCs w:val="22"/>
        </w:rPr>
        <w:t xml:space="preserve">. </w:t>
      </w:r>
    </w:p>
    <w:p w:rsidR="00884D44" w:rsidRPr="00884D44" w:rsidRDefault="005C5E0A" w:rsidP="00884D44">
      <w:pPr>
        <w:spacing w:before="120" w:after="120"/>
        <w:rPr>
          <w:rFonts w:cs="Arial"/>
          <w:color w:val="000000"/>
          <w:sz w:val="22"/>
          <w:szCs w:val="22"/>
        </w:rPr>
      </w:pPr>
      <w:r>
        <w:rPr>
          <w:rFonts w:cs="Arial"/>
          <w:color w:val="000000"/>
          <w:sz w:val="22"/>
          <w:szCs w:val="22"/>
        </w:rPr>
        <w:t>In addition, t</w:t>
      </w:r>
      <w:r w:rsidR="00884D44" w:rsidRPr="00C06ED1">
        <w:rPr>
          <w:rFonts w:cs="Arial"/>
          <w:color w:val="000000"/>
          <w:sz w:val="22"/>
          <w:szCs w:val="22"/>
        </w:rPr>
        <w:t xml:space="preserve">he initial assessment </w:t>
      </w:r>
      <w:r>
        <w:rPr>
          <w:rFonts w:cs="Arial"/>
          <w:color w:val="000000"/>
          <w:sz w:val="22"/>
          <w:szCs w:val="22"/>
        </w:rPr>
        <w:t>should also</w:t>
      </w:r>
      <w:r w:rsidR="00884D44" w:rsidRPr="00C06ED1">
        <w:rPr>
          <w:rFonts w:cs="Arial"/>
          <w:color w:val="000000"/>
          <w:sz w:val="22"/>
          <w:szCs w:val="22"/>
        </w:rPr>
        <w:t xml:space="preserve"> identify </w:t>
      </w:r>
      <w:r w:rsidR="000F3590">
        <w:rPr>
          <w:rFonts w:cs="Arial"/>
          <w:color w:val="000000"/>
          <w:sz w:val="22"/>
          <w:szCs w:val="22"/>
        </w:rPr>
        <w:t xml:space="preserve">any other </w:t>
      </w:r>
      <w:r w:rsidR="00884D44" w:rsidRPr="00C06ED1">
        <w:rPr>
          <w:rFonts w:cs="Arial"/>
          <w:color w:val="000000"/>
          <w:sz w:val="22"/>
          <w:szCs w:val="22"/>
        </w:rPr>
        <w:t xml:space="preserve">insufficiencies </w:t>
      </w:r>
      <w:r>
        <w:rPr>
          <w:rFonts w:cs="Arial"/>
          <w:color w:val="000000"/>
          <w:sz w:val="22"/>
          <w:szCs w:val="22"/>
        </w:rPr>
        <w:t xml:space="preserve">relating to the costs, financial or business information to inform the </w:t>
      </w:r>
      <w:r w:rsidR="00884D44" w:rsidRPr="00C06ED1">
        <w:rPr>
          <w:rFonts w:cs="Arial"/>
          <w:color w:val="000000"/>
          <w:sz w:val="22"/>
          <w:szCs w:val="22"/>
        </w:rPr>
        <w:t>draft</w:t>
      </w:r>
      <w:r>
        <w:rPr>
          <w:rFonts w:cs="Arial"/>
          <w:color w:val="000000"/>
          <w:sz w:val="22"/>
          <w:szCs w:val="22"/>
        </w:rPr>
        <w:t>ing of</w:t>
      </w:r>
      <w:r w:rsidR="00884D44" w:rsidRPr="00C06ED1">
        <w:rPr>
          <w:rFonts w:cs="Arial"/>
          <w:color w:val="000000"/>
          <w:sz w:val="22"/>
          <w:szCs w:val="22"/>
        </w:rPr>
        <w:t xml:space="preserve"> a request for further information under s52G-4(3) of the </w:t>
      </w:r>
      <w:r w:rsidR="00884D44" w:rsidRPr="00884D44">
        <w:rPr>
          <w:rFonts w:cs="Arial"/>
          <w:i/>
          <w:color w:val="000000"/>
          <w:sz w:val="22"/>
          <w:szCs w:val="22"/>
        </w:rPr>
        <w:t>Act</w:t>
      </w:r>
      <w:r w:rsidR="00884D44" w:rsidRPr="00884D44">
        <w:rPr>
          <w:rFonts w:cs="Arial"/>
          <w:color w:val="000000"/>
          <w:sz w:val="22"/>
          <w:szCs w:val="22"/>
        </w:rPr>
        <w:t xml:space="preserve">.  </w:t>
      </w:r>
    </w:p>
    <w:p w:rsidR="00884D44" w:rsidRPr="00C06ED1" w:rsidRDefault="00884D44" w:rsidP="00884D44">
      <w:pPr>
        <w:spacing w:before="120" w:after="120"/>
        <w:rPr>
          <w:rFonts w:cs="Arial"/>
          <w:color w:val="000000"/>
          <w:sz w:val="22"/>
          <w:szCs w:val="22"/>
        </w:rPr>
      </w:pPr>
      <w:r w:rsidRPr="00884D44">
        <w:rPr>
          <w:rFonts w:cs="Arial"/>
          <w:color w:val="000000"/>
          <w:sz w:val="22"/>
          <w:szCs w:val="22"/>
        </w:rPr>
        <w:t>Every effort should be made to request all necessary information and seek further clarification from the applicant in a si</w:t>
      </w:r>
      <w:r w:rsidRPr="00C06ED1">
        <w:rPr>
          <w:rFonts w:cs="Arial"/>
          <w:color w:val="000000"/>
          <w:sz w:val="22"/>
          <w:szCs w:val="22"/>
        </w:rPr>
        <w:t xml:space="preserve">ngle request. </w:t>
      </w:r>
    </w:p>
    <w:p w:rsidR="00884D44" w:rsidRPr="00C06ED1" w:rsidRDefault="00884D44" w:rsidP="00884D44">
      <w:pPr>
        <w:spacing w:before="120" w:after="120"/>
        <w:rPr>
          <w:rFonts w:cs="Arial"/>
          <w:color w:val="000000"/>
          <w:sz w:val="22"/>
          <w:szCs w:val="22"/>
        </w:rPr>
      </w:pPr>
      <w:r>
        <w:rPr>
          <w:rFonts w:cs="Arial"/>
          <w:color w:val="000000"/>
          <w:sz w:val="22"/>
          <w:szCs w:val="22"/>
        </w:rPr>
        <w:t>This</w:t>
      </w:r>
      <w:r w:rsidRPr="00C06ED1">
        <w:rPr>
          <w:rFonts w:cs="Arial"/>
          <w:color w:val="000000"/>
          <w:sz w:val="22"/>
          <w:szCs w:val="22"/>
        </w:rPr>
        <w:t xml:space="preserve"> is an </w:t>
      </w:r>
      <w:r w:rsidRPr="00C06ED1">
        <w:rPr>
          <w:rFonts w:cs="Arial"/>
          <w:color w:val="000000"/>
          <w:sz w:val="22"/>
          <w:szCs w:val="22"/>
          <w:u w:val="single"/>
        </w:rPr>
        <w:t>initial assessment</w:t>
      </w:r>
      <w:r w:rsidRPr="00C06ED1">
        <w:rPr>
          <w:rFonts w:cs="Arial"/>
          <w:color w:val="000000"/>
          <w:sz w:val="22"/>
          <w:szCs w:val="22"/>
        </w:rPr>
        <w:t xml:space="preserve"> only and is not intended to be the basis on which recommendations are made to the Commissioner for the purposes of reaching a final decision. </w:t>
      </w:r>
    </w:p>
    <w:p w:rsidR="00884D44" w:rsidRPr="00374C19" w:rsidRDefault="00884D44" w:rsidP="00884D44">
      <w:pPr>
        <w:pStyle w:val="TextDotPoint"/>
        <w:ind w:left="284"/>
        <w:rPr>
          <w:sz w:val="22"/>
          <w:szCs w:val="22"/>
        </w:rPr>
      </w:pPr>
      <w:r>
        <w:rPr>
          <w:i/>
          <w:sz w:val="22"/>
          <w:szCs w:val="22"/>
        </w:rPr>
        <w:t>Category</w:t>
      </w:r>
      <w:r w:rsidRPr="00374C19">
        <w:rPr>
          <w:sz w:val="22"/>
          <w:szCs w:val="22"/>
        </w:rPr>
        <w:t xml:space="preserve"> sets out the </w:t>
      </w:r>
      <w:r>
        <w:rPr>
          <w:sz w:val="22"/>
          <w:szCs w:val="22"/>
        </w:rPr>
        <w:t xml:space="preserve">category of </w:t>
      </w:r>
      <w:r w:rsidRPr="00374C19">
        <w:rPr>
          <w:sz w:val="22"/>
          <w:szCs w:val="22"/>
        </w:rPr>
        <w:t>information;</w:t>
      </w:r>
    </w:p>
    <w:p w:rsidR="00884D44" w:rsidRPr="00374C19" w:rsidRDefault="00884D44" w:rsidP="00884D44">
      <w:pPr>
        <w:pStyle w:val="TextDotPoint"/>
        <w:ind w:left="284"/>
        <w:rPr>
          <w:sz w:val="22"/>
          <w:szCs w:val="22"/>
        </w:rPr>
      </w:pPr>
      <w:r>
        <w:rPr>
          <w:i/>
          <w:sz w:val="22"/>
          <w:szCs w:val="22"/>
        </w:rPr>
        <w:t xml:space="preserve">Information </w:t>
      </w:r>
      <w:r w:rsidRPr="00374C19">
        <w:rPr>
          <w:sz w:val="22"/>
          <w:szCs w:val="22"/>
        </w:rPr>
        <w:t xml:space="preserve">sets out </w:t>
      </w:r>
      <w:r>
        <w:rPr>
          <w:sz w:val="22"/>
          <w:szCs w:val="22"/>
        </w:rPr>
        <w:t xml:space="preserve">the information item </w:t>
      </w:r>
      <w:r w:rsidRPr="001A4C14">
        <w:rPr>
          <w:sz w:val="22"/>
          <w:szCs w:val="22"/>
        </w:rPr>
        <w:t>in the application</w:t>
      </w:r>
      <w:r w:rsidRPr="00374C19">
        <w:rPr>
          <w:sz w:val="22"/>
          <w:szCs w:val="22"/>
        </w:rPr>
        <w:t>;</w:t>
      </w:r>
    </w:p>
    <w:p w:rsidR="00884D44" w:rsidRPr="00374C19" w:rsidRDefault="00884D44" w:rsidP="00884D44">
      <w:pPr>
        <w:pStyle w:val="TextDotPoint"/>
        <w:ind w:left="284"/>
        <w:rPr>
          <w:sz w:val="22"/>
          <w:szCs w:val="22"/>
        </w:rPr>
      </w:pPr>
      <w:r>
        <w:rPr>
          <w:i/>
          <w:sz w:val="22"/>
          <w:szCs w:val="22"/>
        </w:rPr>
        <w:t>R</w:t>
      </w:r>
      <w:r w:rsidRPr="00374C19">
        <w:rPr>
          <w:i/>
          <w:sz w:val="22"/>
          <w:szCs w:val="22"/>
        </w:rPr>
        <w:t xml:space="preserve">eference </w:t>
      </w:r>
      <w:r>
        <w:rPr>
          <w:i/>
          <w:sz w:val="22"/>
          <w:szCs w:val="22"/>
        </w:rPr>
        <w:t xml:space="preserve">information </w:t>
      </w:r>
      <w:r w:rsidRPr="00374C19">
        <w:rPr>
          <w:sz w:val="22"/>
          <w:szCs w:val="22"/>
        </w:rPr>
        <w:t xml:space="preserve">sets out reference material that the assessor </w:t>
      </w:r>
      <w:r>
        <w:rPr>
          <w:sz w:val="22"/>
          <w:szCs w:val="22"/>
        </w:rPr>
        <w:t>refers to</w:t>
      </w:r>
      <w:r w:rsidRPr="00374C19">
        <w:rPr>
          <w:sz w:val="22"/>
          <w:szCs w:val="22"/>
        </w:rPr>
        <w:t xml:space="preserve"> when assessing the information provided by the applicant;</w:t>
      </w:r>
    </w:p>
    <w:p w:rsidR="00884D44" w:rsidRPr="0027091B" w:rsidRDefault="005C5E0A" w:rsidP="00945EBA">
      <w:pPr>
        <w:pStyle w:val="TextDotPoint"/>
        <w:ind w:left="284"/>
      </w:pPr>
      <w:r>
        <w:rPr>
          <w:sz w:val="22"/>
          <w:szCs w:val="22"/>
        </w:rPr>
        <w:t>T</w:t>
      </w:r>
      <w:r w:rsidR="00884D44" w:rsidRPr="00374C19">
        <w:rPr>
          <w:sz w:val="22"/>
          <w:szCs w:val="22"/>
        </w:rPr>
        <w:t xml:space="preserve">he assessor considers </w:t>
      </w:r>
      <w:r w:rsidR="006373F8">
        <w:rPr>
          <w:sz w:val="22"/>
          <w:szCs w:val="22"/>
        </w:rPr>
        <w:t xml:space="preserve">whether </w:t>
      </w:r>
      <w:r w:rsidR="00884D44" w:rsidRPr="00374C19">
        <w:rPr>
          <w:sz w:val="22"/>
          <w:szCs w:val="22"/>
        </w:rPr>
        <w:t xml:space="preserve">the </w:t>
      </w:r>
      <w:r w:rsidR="00072710">
        <w:rPr>
          <w:sz w:val="22"/>
          <w:szCs w:val="22"/>
        </w:rPr>
        <w:t>criteria</w:t>
      </w:r>
      <w:r w:rsidR="00072710" w:rsidRPr="00374C19">
        <w:rPr>
          <w:sz w:val="22"/>
          <w:szCs w:val="22"/>
        </w:rPr>
        <w:t xml:space="preserve"> have</w:t>
      </w:r>
      <w:r w:rsidR="00884D44" w:rsidRPr="00374C19">
        <w:rPr>
          <w:sz w:val="22"/>
          <w:szCs w:val="22"/>
        </w:rPr>
        <w:t xml:space="preserve"> been satisfied.</w:t>
      </w:r>
    </w:p>
    <w:p w:rsidR="0027091B" w:rsidRDefault="0027091B" w:rsidP="0027091B">
      <w:pPr>
        <w:pStyle w:val="TextDotPoint"/>
        <w:numPr>
          <w:ilvl w:val="0"/>
          <w:numId w:val="0"/>
        </w:numPr>
        <w:ind w:left="-76"/>
      </w:pPr>
    </w:p>
    <w:p w:rsidR="00884D44" w:rsidRPr="00E8514A" w:rsidRDefault="00884D44" w:rsidP="00562E29">
      <w:pPr>
        <w:pStyle w:val="Heading4"/>
      </w:pPr>
      <w:r>
        <w:lastRenderedPageBreak/>
        <w:t>Table 1.2</w:t>
      </w:r>
    </w:p>
    <w:p w:rsidR="00884D44" w:rsidRDefault="00562E29" w:rsidP="00562E29">
      <w:pPr>
        <w:pStyle w:val="Heading5"/>
      </w:pPr>
      <w:r>
        <w:t>S</w:t>
      </w:r>
      <w:r w:rsidR="00B50193">
        <w:t>tep 4</w:t>
      </w:r>
      <w:r w:rsidR="00884D44">
        <w:t xml:space="preserve">: </w:t>
      </w:r>
      <w:r w:rsidR="00884D44" w:rsidRPr="001B0CAA">
        <w:t xml:space="preserve">Determine if sufficient information has been provided to make </w:t>
      </w:r>
      <w:r w:rsidR="00884D44">
        <w:t xml:space="preserve">an </w:t>
      </w:r>
      <w:r w:rsidR="00884D44" w:rsidRPr="001B0CAA">
        <w:t>assessment</w:t>
      </w:r>
    </w:p>
    <w:tbl>
      <w:tblPr>
        <w:tblpPr w:leftFromText="180" w:rightFromText="180" w:vertAnchor="text" w:tblpY="1"/>
        <w:tblOverlap w:val="never"/>
        <w:tblW w:w="908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000" w:firstRow="0" w:lastRow="0" w:firstColumn="0" w:lastColumn="0" w:noHBand="0" w:noVBand="0"/>
        <w:tblCaption w:val="Table 1.2 Step 4: Determine if sufficient information has been provided to make an assessment"/>
        <w:tblDescription w:val="Table that determines whether sufficient information has been provided for the Assesor to make an assessment"/>
      </w:tblPr>
      <w:tblGrid>
        <w:gridCol w:w="3258"/>
        <w:gridCol w:w="2422"/>
        <w:gridCol w:w="2259"/>
        <w:gridCol w:w="1147"/>
      </w:tblGrid>
      <w:tr w:rsidR="00884D44" w:rsidRPr="001B0CAA" w:rsidTr="00A6323C">
        <w:trPr>
          <w:trHeight w:val="55"/>
          <w:tblHeader/>
        </w:trPr>
        <w:tc>
          <w:tcPr>
            <w:tcW w:w="1793" w:type="pct"/>
            <w:shd w:val="clear" w:color="auto" w:fill="00B0F0"/>
          </w:tcPr>
          <w:p w:rsidR="00884D44" w:rsidRPr="001B0CAA" w:rsidRDefault="00884D44" w:rsidP="00884D44">
            <w:pPr>
              <w:pStyle w:val="TableHeads"/>
              <w:keepNext w:val="0"/>
              <w:widowControl w:val="0"/>
              <w:rPr>
                <w:color w:val="FFFFFF" w:themeColor="background1"/>
                <w:lang w:bidi="x-none"/>
              </w:rPr>
            </w:pPr>
            <w:r>
              <w:rPr>
                <w:color w:val="FFFFFF" w:themeColor="background1"/>
                <w:lang w:bidi="x-none"/>
              </w:rPr>
              <w:t xml:space="preserve">Category </w:t>
            </w:r>
          </w:p>
        </w:tc>
        <w:tc>
          <w:tcPr>
            <w:tcW w:w="1333" w:type="pct"/>
            <w:shd w:val="clear" w:color="auto" w:fill="00B0F0"/>
          </w:tcPr>
          <w:p w:rsidR="00884D44" w:rsidRPr="001B0CAA" w:rsidRDefault="00884D44" w:rsidP="00EB0512">
            <w:pPr>
              <w:pStyle w:val="TableHeads"/>
              <w:keepNext w:val="0"/>
              <w:widowControl w:val="0"/>
              <w:rPr>
                <w:color w:val="FFFFFF" w:themeColor="background1"/>
                <w:lang w:bidi="x-none"/>
              </w:rPr>
            </w:pPr>
            <w:r>
              <w:rPr>
                <w:color w:val="FFFFFF" w:themeColor="background1"/>
                <w:lang w:bidi="x-none"/>
              </w:rPr>
              <w:t xml:space="preserve">Information </w:t>
            </w:r>
          </w:p>
        </w:tc>
        <w:tc>
          <w:tcPr>
            <w:tcW w:w="1243" w:type="pct"/>
            <w:shd w:val="clear" w:color="auto" w:fill="00B0F0"/>
          </w:tcPr>
          <w:p w:rsidR="00884D44" w:rsidRPr="001B0CAA" w:rsidRDefault="00884D44" w:rsidP="00884D44">
            <w:pPr>
              <w:pStyle w:val="TableHeads"/>
              <w:keepNext w:val="0"/>
              <w:widowControl w:val="0"/>
              <w:rPr>
                <w:color w:val="FFFFFF" w:themeColor="background1"/>
                <w:lang w:bidi="x-none"/>
              </w:rPr>
            </w:pPr>
            <w:r>
              <w:rPr>
                <w:color w:val="FFFFFF" w:themeColor="background1"/>
                <w:lang w:bidi="x-none"/>
              </w:rPr>
              <w:t>Reference information</w:t>
            </w:r>
          </w:p>
        </w:tc>
        <w:tc>
          <w:tcPr>
            <w:tcW w:w="631" w:type="pct"/>
            <w:shd w:val="clear" w:color="auto" w:fill="00B0F0"/>
          </w:tcPr>
          <w:p w:rsidR="00884D44" w:rsidRDefault="00884D44" w:rsidP="00884D44">
            <w:pPr>
              <w:pStyle w:val="TableHeads"/>
              <w:keepNext w:val="0"/>
              <w:widowControl w:val="0"/>
              <w:rPr>
                <w:color w:val="FFFFFF" w:themeColor="background1"/>
                <w:lang w:bidi="x-none"/>
              </w:rPr>
            </w:pPr>
            <w:r>
              <w:rPr>
                <w:rFonts w:cs="Arial"/>
                <w:color w:val="FFFFFF" w:themeColor="background1"/>
                <w:lang w:bidi="x-none"/>
              </w:rPr>
              <w:t>Y/N</w:t>
            </w:r>
          </w:p>
        </w:tc>
      </w:tr>
      <w:tr w:rsidR="00884D44" w:rsidTr="00A6323C">
        <w:trPr>
          <w:trHeight w:val="30"/>
          <w:tblHeader/>
        </w:trPr>
        <w:tc>
          <w:tcPr>
            <w:tcW w:w="1793" w:type="pct"/>
            <w:shd w:val="pct50" w:color="E5DBD2" w:fill="FFFFFF"/>
          </w:tcPr>
          <w:p w:rsidR="00884D44" w:rsidRPr="005960B8" w:rsidRDefault="00884D44" w:rsidP="00884D44">
            <w:pPr>
              <w:pStyle w:val="TableText"/>
              <w:keepNext w:val="0"/>
              <w:widowControl w:val="0"/>
              <w:numPr>
                <w:ilvl w:val="0"/>
                <w:numId w:val="19"/>
              </w:numPr>
              <w:rPr>
                <w:lang w:bidi="x-none"/>
              </w:rPr>
            </w:pPr>
            <w:r>
              <w:rPr>
                <w:lang w:bidi="x-none"/>
              </w:rPr>
              <w:t>Background information</w:t>
            </w:r>
          </w:p>
        </w:tc>
        <w:tc>
          <w:tcPr>
            <w:tcW w:w="1333" w:type="pct"/>
            <w:shd w:val="pct50" w:color="E5DBD2" w:fill="FFFFFF"/>
          </w:tcPr>
          <w:p w:rsidR="00884D44" w:rsidRPr="00BC156B" w:rsidRDefault="00884D44" w:rsidP="00884D44">
            <w:pPr>
              <w:pStyle w:val="TableText"/>
              <w:keepNext w:val="0"/>
              <w:widowControl w:val="0"/>
              <w:ind w:left="-34"/>
              <w:rPr>
                <w:lang w:bidi="x-none"/>
              </w:rPr>
            </w:pPr>
            <w:r>
              <w:rPr>
                <w:lang w:bidi="x-none"/>
              </w:rPr>
              <w:t>All information</w:t>
            </w:r>
          </w:p>
        </w:tc>
        <w:tc>
          <w:tcPr>
            <w:tcW w:w="1243" w:type="pct"/>
            <w:shd w:val="pct50" w:color="E5DBD2" w:fill="FFFFFF"/>
          </w:tcPr>
          <w:p w:rsidR="00884D44" w:rsidRDefault="00884D44" w:rsidP="00884D44">
            <w:pPr>
              <w:pStyle w:val="TableText"/>
              <w:keepNext w:val="0"/>
              <w:widowControl w:val="0"/>
              <w:ind w:left="40"/>
              <w:rPr>
                <w:lang w:bidi="x-none"/>
              </w:rPr>
            </w:pPr>
            <w:r>
              <w:rPr>
                <w:lang w:bidi="x-none"/>
              </w:rPr>
              <w:t>Included at Table 1</w:t>
            </w:r>
          </w:p>
        </w:tc>
        <w:tc>
          <w:tcPr>
            <w:tcW w:w="631" w:type="pct"/>
            <w:shd w:val="pct50" w:color="E5DBD2" w:fill="FFFFFF"/>
          </w:tcPr>
          <w:p w:rsidR="00884D44" w:rsidRDefault="00884D44" w:rsidP="00884D44">
            <w:pPr>
              <w:pStyle w:val="TableText"/>
              <w:keepNext w:val="0"/>
              <w:widowControl w:val="0"/>
              <w:ind w:left="0"/>
              <w:rPr>
                <w:lang w:bidi="x-none"/>
              </w:rPr>
            </w:pPr>
          </w:p>
        </w:tc>
      </w:tr>
      <w:tr w:rsidR="000F3590" w:rsidTr="00A6323C">
        <w:trPr>
          <w:trHeight w:val="30"/>
          <w:tblHeader/>
        </w:trPr>
        <w:tc>
          <w:tcPr>
            <w:tcW w:w="1793" w:type="pct"/>
            <w:shd w:val="pct50" w:color="E5DBD2" w:fill="FFFFFF"/>
          </w:tcPr>
          <w:p w:rsidR="000F3590" w:rsidRDefault="000F3590" w:rsidP="00884D44">
            <w:pPr>
              <w:pStyle w:val="TableText"/>
              <w:keepNext w:val="0"/>
              <w:widowControl w:val="0"/>
              <w:ind w:left="34"/>
              <w:rPr>
                <w:lang w:bidi="x-none"/>
              </w:rPr>
            </w:pPr>
            <w:r>
              <w:rPr>
                <w:lang w:bidi="x-none"/>
              </w:rPr>
              <w:t xml:space="preserve">2.1 Proposed price </w:t>
            </w:r>
          </w:p>
        </w:tc>
        <w:tc>
          <w:tcPr>
            <w:tcW w:w="1333" w:type="pct"/>
            <w:shd w:val="pct50" w:color="E5DBD2" w:fill="FFFFFF"/>
          </w:tcPr>
          <w:p w:rsidR="000F3590" w:rsidRDefault="000F3590" w:rsidP="00884D44">
            <w:pPr>
              <w:pStyle w:val="TableText"/>
              <w:keepNext w:val="0"/>
              <w:widowControl w:val="0"/>
              <w:ind w:left="-34"/>
              <w:rPr>
                <w:lang w:bidi="x-none"/>
              </w:rPr>
            </w:pPr>
            <w:r>
              <w:rPr>
                <w:lang w:bidi="x-none"/>
              </w:rPr>
              <w:t>Number of rooms – group</w:t>
            </w:r>
          </w:p>
        </w:tc>
        <w:tc>
          <w:tcPr>
            <w:tcW w:w="1243" w:type="pct"/>
            <w:shd w:val="pct50" w:color="E5DBD2" w:fill="FFFFFF"/>
          </w:tcPr>
          <w:p w:rsidR="000F3590" w:rsidRDefault="000F3590" w:rsidP="00884D44">
            <w:pPr>
              <w:pStyle w:val="TableText"/>
              <w:keepNext w:val="0"/>
              <w:widowControl w:val="0"/>
              <w:ind w:left="40"/>
              <w:rPr>
                <w:lang w:bidi="x-none"/>
              </w:rPr>
            </w:pPr>
            <w:r>
              <w:rPr>
                <w:lang w:bidi="x-none"/>
              </w:rPr>
              <w:t xml:space="preserve">Included at Table 2.2 </w:t>
            </w:r>
          </w:p>
        </w:tc>
        <w:tc>
          <w:tcPr>
            <w:tcW w:w="631" w:type="pct"/>
            <w:shd w:val="pct50" w:color="E5DBD2" w:fill="FFFFFF"/>
          </w:tcPr>
          <w:p w:rsidR="000F3590" w:rsidRDefault="000F3590" w:rsidP="00884D44">
            <w:pPr>
              <w:pStyle w:val="TableText"/>
              <w:keepNext w:val="0"/>
              <w:widowControl w:val="0"/>
              <w:ind w:left="0"/>
              <w:rPr>
                <w:lang w:bidi="x-none"/>
              </w:rPr>
            </w:pPr>
          </w:p>
        </w:tc>
      </w:tr>
      <w:tr w:rsidR="000F3590" w:rsidTr="00A6323C">
        <w:trPr>
          <w:trHeight w:val="30"/>
          <w:tblHeader/>
        </w:trPr>
        <w:tc>
          <w:tcPr>
            <w:tcW w:w="1793" w:type="pct"/>
            <w:shd w:val="pct50" w:color="E5DBD2" w:fill="FFFFFF"/>
          </w:tcPr>
          <w:p w:rsidR="000F3590" w:rsidRDefault="000F3590" w:rsidP="00884D44">
            <w:pPr>
              <w:pStyle w:val="TableText"/>
              <w:keepNext w:val="0"/>
              <w:widowControl w:val="0"/>
              <w:ind w:left="34"/>
              <w:rPr>
                <w:lang w:bidi="x-none"/>
              </w:rPr>
            </w:pPr>
          </w:p>
        </w:tc>
        <w:tc>
          <w:tcPr>
            <w:tcW w:w="1333" w:type="pct"/>
            <w:shd w:val="pct50" w:color="E5DBD2" w:fill="FFFFFF"/>
          </w:tcPr>
          <w:p w:rsidR="000F3590" w:rsidRDefault="000F3590" w:rsidP="00884D44">
            <w:pPr>
              <w:pStyle w:val="TableText"/>
              <w:keepNext w:val="0"/>
              <w:widowControl w:val="0"/>
              <w:ind w:left="-34"/>
              <w:rPr>
                <w:lang w:bidi="x-none"/>
              </w:rPr>
            </w:pPr>
            <w:r>
              <w:rPr>
                <w:lang w:bidi="x-none"/>
              </w:rPr>
              <w:t xml:space="preserve">Number of rooms – facility </w:t>
            </w:r>
          </w:p>
        </w:tc>
        <w:tc>
          <w:tcPr>
            <w:tcW w:w="1243" w:type="pct"/>
            <w:shd w:val="pct50" w:color="E5DBD2" w:fill="FFFFFF"/>
          </w:tcPr>
          <w:p w:rsidR="000F3590" w:rsidRDefault="000F3590" w:rsidP="00884D44">
            <w:pPr>
              <w:pStyle w:val="TableText"/>
              <w:keepNext w:val="0"/>
              <w:widowControl w:val="0"/>
              <w:ind w:left="40"/>
              <w:rPr>
                <w:lang w:bidi="x-none"/>
              </w:rPr>
            </w:pPr>
            <w:r>
              <w:rPr>
                <w:lang w:bidi="x-none"/>
              </w:rPr>
              <w:t xml:space="preserve">Included at Table 2.2 </w:t>
            </w:r>
          </w:p>
        </w:tc>
        <w:tc>
          <w:tcPr>
            <w:tcW w:w="631" w:type="pct"/>
            <w:shd w:val="pct50" w:color="E5DBD2" w:fill="FFFFFF"/>
          </w:tcPr>
          <w:p w:rsidR="000F3590" w:rsidRDefault="000F3590" w:rsidP="00884D44">
            <w:pPr>
              <w:pStyle w:val="TableText"/>
              <w:keepNext w:val="0"/>
              <w:widowControl w:val="0"/>
              <w:ind w:left="0"/>
              <w:rPr>
                <w:lang w:bidi="x-none"/>
              </w:rPr>
            </w:pPr>
          </w:p>
        </w:tc>
      </w:tr>
      <w:tr w:rsidR="000F3590" w:rsidTr="00A6323C">
        <w:trPr>
          <w:trHeight w:val="30"/>
          <w:tblHeader/>
        </w:trPr>
        <w:tc>
          <w:tcPr>
            <w:tcW w:w="1793" w:type="pct"/>
            <w:shd w:val="pct50" w:color="E5DBD2" w:fill="FFFFFF"/>
          </w:tcPr>
          <w:p w:rsidR="000F3590" w:rsidRDefault="000F3590" w:rsidP="00884D44">
            <w:pPr>
              <w:pStyle w:val="TableText"/>
              <w:keepNext w:val="0"/>
              <w:widowControl w:val="0"/>
              <w:ind w:left="34"/>
              <w:rPr>
                <w:lang w:bidi="x-none"/>
              </w:rPr>
            </w:pPr>
          </w:p>
        </w:tc>
        <w:tc>
          <w:tcPr>
            <w:tcW w:w="1333" w:type="pct"/>
            <w:shd w:val="pct50" w:color="E5DBD2" w:fill="FFFFFF"/>
          </w:tcPr>
          <w:p w:rsidR="000F3590" w:rsidRDefault="000F3590" w:rsidP="00884D44">
            <w:pPr>
              <w:pStyle w:val="TableText"/>
              <w:keepNext w:val="0"/>
              <w:widowControl w:val="0"/>
              <w:ind w:left="-34"/>
              <w:rPr>
                <w:lang w:bidi="x-none"/>
              </w:rPr>
            </w:pPr>
            <w:r>
              <w:rPr>
                <w:lang w:bidi="x-none"/>
              </w:rPr>
              <w:t>Proposed price</w:t>
            </w:r>
          </w:p>
        </w:tc>
        <w:tc>
          <w:tcPr>
            <w:tcW w:w="1243" w:type="pct"/>
            <w:shd w:val="pct50" w:color="E5DBD2" w:fill="FFFFFF"/>
          </w:tcPr>
          <w:p w:rsidR="000F3590" w:rsidRDefault="000F3590" w:rsidP="00884D44">
            <w:pPr>
              <w:pStyle w:val="TableText"/>
              <w:keepNext w:val="0"/>
              <w:widowControl w:val="0"/>
              <w:ind w:left="40"/>
              <w:rPr>
                <w:lang w:bidi="x-none"/>
              </w:rPr>
            </w:pPr>
            <w:r>
              <w:rPr>
                <w:lang w:bidi="x-none"/>
              </w:rPr>
              <w:t>Included at Table 2.2</w:t>
            </w:r>
          </w:p>
        </w:tc>
        <w:tc>
          <w:tcPr>
            <w:tcW w:w="631" w:type="pct"/>
            <w:shd w:val="pct50" w:color="E5DBD2" w:fill="FFFFFF"/>
          </w:tcPr>
          <w:p w:rsidR="000F3590" w:rsidRDefault="000F3590" w:rsidP="00884D44">
            <w:pPr>
              <w:pStyle w:val="TableText"/>
              <w:keepNext w:val="0"/>
              <w:widowControl w:val="0"/>
              <w:ind w:left="0"/>
              <w:rPr>
                <w:lang w:bidi="x-none"/>
              </w:rPr>
            </w:pPr>
          </w:p>
        </w:tc>
      </w:tr>
      <w:tr w:rsidR="000F3590" w:rsidTr="00A6323C">
        <w:trPr>
          <w:trHeight w:val="30"/>
          <w:tblHeader/>
        </w:trPr>
        <w:tc>
          <w:tcPr>
            <w:tcW w:w="1793" w:type="pct"/>
            <w:shd w:val="pct50" w:color="E5DBD2" w:fill="FFFFFF"/>
          </w:tcPr>
          <w:p w:rsidR="000F3590" w:rsidRDefault="000F3590" w:rsidP="00884D44">
            <w:pPr>
              <w:pStyle w:val="TableText"/>
              <w:keepNext w:val="0"/>
              <w:widowControl w:val="0"/>
              <w:ind w:left="34"/>
              <w:rPr>
                <w:lang w:bidi="x-none"/>
              </w:rPr>
            </w:pPr>
          </w:p>
        </w:tc>
        <w:tc>
          <w:tcPr>
            <w:tcW w:w="1333" w:type="pct"/>
            <w:shd w:val="pct50" w:color="E5DBD2" w:fill="FFFFFF"/>
          </w:tcPr>
          <w:p w:rsidR="000F3590" w:rsidRDefault="000F3590" w:rsidP="00884D44">
            <w:pPr>
              <w:pStyle w:val="TableText"/>
              <w:keepNext w:val="0"/>
              <w:widowControl w:val="0"/>
              <w:ind w:left="-34"/>
              <w:rPr>
                <w:lang w:bidi="x-none"/>
              </w:rPr>
            </w:pPr>
            <w:r>
              <w:rPr>
                <w:lang w:bidi="x-none"/>
              </w:rPr>
              <w:t>Narrative/business case</w:t>
            </w:r>
          </w:p>
        </w:tc>
        <w:tc>
          <w:tcPr>
            <w:tcW w:w="1243" w:type="pct"/>
            <w:shd w:val="pct50" w:color="E5DBD2" w:fill="FFFFFF"/>
          </w:tcPr>
          <w:p w:rsidR="000F3590" w:rsidRDefault="000F3590" w:rsidP="00884D44">
            <w:pPr>
              <w:pStyle w:val="TableText"/>
              <w:keepNext w:val="0"/>
              <w:widowControl w:val="0"/>
              <w:ind w:left="40"/>
              <w:rPr>
                <w:lang w:bidi="x-none"/>
              </w:rPr>
            </w:pPr>
            <w:r>
              <w:rPr>
                <w:lang w:bidi="x-none"/>
              </w:rPr>
              <w:t>Included at Table 2.1 or attachment</w:t>
            </w:r>
          </w:p>
        </w:tc>
        <w:tc>
          <w:tcPr>
            <w:tcW w:w="631" w:type="pct"/>
            <w:shd w:val="pct50" w:color="E5DBD2" w:fill="FFFFFF"/>
          </w:tcPr>
          <w:p w:rsidR="000F3590" w:rsidRDefault="000F3590" w:rsidP="00884D44">
            <w:pPr>
              <w:pStyle w:val="TableText"/>
              <w:keepNext w:val="0"/>
              <w:widowControl w:val="0"/>
              <w:ind w:left="0"/>
              <w:rPr>
                <w:lang w:bidi="x-none"/>
              </w:rPr>
            </w:pPr>
          </w:p>
        </w:tc>
      </w:tr>
      <w:tr w:rsidR="000F3590" w:rsidTr="00A6323C">
        <w:trPr>
          <w:trHeight w:val="30"/>
          <w:tblHeader/>
        </w:trPr>
        <w:tc>
          <w:tcPr>
            <w:tcW w:w="1793" w:type="pct"/>
            <w:shd w:val="pct50" w:color="E5DBD2" w:fill="FFFFFF"/>
          </w:tcPr>
          <w:p w:rsidR="000F3590" w:rsidRDefault="000F3590" w:rsidP="00884D44">
            <w:pPr>
              <w:pStyle w:val="TableText"/>
              <w:keepNext w:val="0"/>
              <w:widowControl w:val="0"/>
              <w:ind w:left="34"/>
              <w:rPr>
                <w:lang w:bidi="x-none"/>
              </w:rPr>
            </w:pPr>
          </w:p>
        </w:tc>
        <w:tc>
          <w:tcPr>
            <w:tcW w:w="1333" w:type="pct"/>
            <w:shd w:val="pct50" w:color="E5DBD2" w:fill="FFFFFF"/>
          </w:tcPr>
          <w:p w:rsidR="000F3590" w:rsidRDefault="000F3590" w:rsidP="00884D44">
            <w:pPr>
              <w:pStyle w:val="TableText"/>
              <w:keepNext w:val="0"/>
              <w:widowControl w:val="0"/>
              <w:ind w:left="-34"/>
              <w:rPr>
                <w:lang w:bidi="x-none"/>
              </w:rPr>
            </w:pPr>
            <w:r>
              <w:rPr>
                <w:lang w:bidi="x-none"/>
              </w:rPr>
              <w:t>WACC/IRR/EBITDA</w:t>
            </w:r>
          </w:p>
        </w:tc>
        <w:tc>
          <w:tcPr>
            <w:tcW w:w="1243" w:type="pct"/>
            <w:shd w:val="pct50" w:color="E5DBD2" w:fill="FFFFFF"/>
          </w:tcPr>
          <w:p w:rsidR="000F3590" w:rsidRDefault="000F3590" w:rsidP="00884D44">
            <w:pPr>
              <w:pStyle w:val="TableText"/>
              <w:keepNext w:val="0"/>
              <w:widowControl w:val="0"/>
              <w:ind w:left="40"/>
              <w:rPr>
                <w:lang w:bidi="x-none"/>
              </w:rPr>
            </w:pPr>
            <w:r>
              <w:rPr>
                <w:lang w:bidi="x-none"/>
              </w:rPr>
              <w:t>Included at Table 2.1 or attachment</w:t>
            </w:r>
          </w:p>
        </w:tc>
        <w:tc>
          <w:tcPr>
            <w:tcW w:w="631" w:type="pct"/>
            <w:shd w:val="pct50" w:color="E5DBD2" w:fill="FFFFFF"/>
          </w:tcPr>
          <w:p w:rsidR="000F3590" w:rsidRDefault="000F3590" w:rsidP="00884D44">
            <w:pPr>
              <w:pStyle w:val="TableText"/>
              <w:keepNext w:val="0"/>
              <w:widowControl w:val="0"/>
              <w:ind w:left="0"/>
              <w:rPr>
                <w:lang w:bidi="x-none"/>
              </w:rPr>
            </w:pPr>
          </w:p>
        </w:tc>
      </w:tr>
      <w:tr w:rsidR="000F3590" w:rsidTr="00A6323C">
        <w:trPr>
          <w:trHeight w:val="30"/>
          <w:tblHeader/>
        </w:trPr>
        <w:tc>
          <w:tcPr>
            <w:tcW w:w="1793" w:type="pct"/>
            <w:shd w:val="pct50" w:color="E5DBD2" w:fill="FFFFFF"/>
          </w:tcPr>
          <w:p w:rsidR="000F3590" w:rsidRDefault="006373F8" w:rsidP="00884D44">
            <w:pPr>
              <w:pStyle w:val="TableText"/>
              <w:keepNext w:val="0"/>
              <w:widowControl w:val="0"/>
              <w:ind w:left="34"/>
              <w:rPr>
                <w:lang w:bidi="x-none"/>
              </w:rPr>
            </w:pPr>
            <w:r>
              <w:rPr>
                <w:lang w:bidi="x-none"/>
              </w:rPr>
              <w:t>2.2 Costs*</w:t>
            </w:r>
          </w:p>
        </w:tc>
        <w:tc>
          <w:tcPr>
            <w:tcW w:w="1333" w:type="pct"/>
            <w:shd w:val="pct50" w:color="E5DBD2" w:fill="FFFFFF"/>
          </w:tcPr>
          <w:p w:rsidR="000F3590" w:rsidRDefault="000F3590" w:rsidP="00884D44">
            <w:pPr>
              <w:pStyle w:val="TableText"/>
              <w:keepNext w:val="0"/>
              <w:widowControl w:val="0"/>
              <w:ind w:left="-34"/>
              <w:rPr>
                <w:lang w:bidi="x-none"/>
              </w:rPr>
            </w:pPr>
            <w:r>
              <w:rPr>
                <w:lang w:bidi="x-none"/>
              </w:rPr>
              <w:t>Land valu</w:t>
            </w:r>
            <w:r w:rsidR="00CA785A">
              <w:rPr>
                <w:lang w:bidi="x-none"/>
              </w:rPr>
              <w:t>e</w:t>
            </w:r>
            <w:r>
              <w:rPr>
                <w:lang w:bidi="x-none"/>
              </w:rPr>
              <w:t>/contract of sale value/acquisition costs</w:t>
            </w:r>
          </w:p>
        </w:tc>
        <w:tc>
          <w:tcPr>
            <w:tcW w:w="1243" w:type="pct"/>
            <w:shd w:val="pct50" w:color="E5DBD2" w:fill="FFFFFF"/>
          </w:tcPr>
          <w:p w:rsidR="000F3590" w:rsidRDefault="000F3590" w:rsidP="00884D44">
            <w:pPr>
              <w:pStyle w:val="TableText"/>
              <w:keepNext w:val="0"/>
              <w:widowControl w:val="0"/>
              <w:ind w:left="40"/>
              <w:rPr>
                <w:lang w:bidi="x-none"/>
              </w:rPr>
            </w:pPr>
            <w:r>
              <w:rPr>
                <w:lang w:bidi="x-none"/>
              </w:rPr>
              <w:t>Table 2.2 or attachment</w:t>
            </w:r>
          </w:p>
        </w:tc>
        <w:tc>
          <w:tcPr>
            <w:tcW w:w="631" w:type="pct"/>
            <w:shd w:val="pct50" w:color="E5DBD2" w:fill="FFFFFF"/>
          </w:tcPr>
          <w:p w:rsidR="000F3590" w:rsidRDefault="000F3590" w:rsidP="00884D44">
            <w:pPr>
              <w:pStyle w:val="TableText"/>
              <w:keepNext w:val="0"/>
              <w:widowControl w:val="0"/>
              <w:ind w:left="0"/>
              <w:rPr>
                <w:lang w:bidi="x-none"/>
              </w:rPr>
            </w:pPr>
          </w:p>
        </w:tc>
      </w:tr>
      <w:tr w:rsidR="000F3590" w:rsidTr="00A6323C">
        <w:trPr>
          <w:trHeight w:val="30"/>
          <w:tblHeader/>
        </w:trPr>
        <w:tc>
          <w:tcPr>
            <w:tcW w:w="1793" w:type="pct"/>
            <w:shd w:val="pct50" w:color="E5DBD2" w:fill="FFFFFF"/>
          </w:tcPr>
          <w:p w:rsidR="000F3590" w:rsidRDefault="000F3590" w:rsidP="00884D44">
            <w:pPr>
              <w:pStyle w:val="TableText"/>
              <w:keepNext w:val="0"/>
              <w:widowControl w:val="0"/>
              <w:ind w:left="34"/>
              <w:rPr>
                <w:lang w:bidi="x-none"/>
              </w:rPr>
            </w:pPr>
          </w:p>
        </w:tc>
        <w:tc>
          <w:tcPr>
            <w:tcW w:w="1333" w:type="pct"/>
            <w:shd w:val="pct50" w:color="E5DBD2" w:fill="FFFFFF"/>
          </w:tcPr>
          <w:p w:rsidR="000F3590" w:rsidRDefault="000F3590" w:rsidP="00884D44">
            <w:pPr>
              <w:pStyle w:val="TableText"/>
              <w:keepNext w:val="0"/>
              <w:widowControl w:val="0"/>
              <w:ind w:left="-34"/>
              <w:rPr>
                <w:lang w:bidi="x-none"/>
              </w:rPr>
            </w:pPr>
            <w:r>
              <w:rPr>
                <w:lang w:bidi="x-none"/>
              </w:rPr>
              <w:t>Building valu</w:t>
            </w:r>
            <w:r w:rsidR="00CA785A">
              <w:rPr>
                <w:lang w:bidi="x-none"/>
              </w:rPr>
              <w:t xml:space="preserve">e, insured </w:t>
            </w:r>
            <w:r w:rsidR="00072710">
              <w:rPr>
                <w:lang w:bidi="x-none"/>
              </w:rPr>
              <w:t>value</w:t>
            </w:r>
            <w:r w:rsidR="00CA785A">
              <w:rPr>
                <w:lang w:bidi="x-none"/>
              </w:rPr>
              <w:t>, replacement value or similar</w:t>
            </w:r>
          </w:p>
        </w:tc>
        <w:tc>
          <w:tcPr>
            <w:tcW w:w="1243" w:type="pct"/>
            <w:shd w:val="pct50" w:color="E5DBD2" w:fill="FFFFFF"/>
          </w:tcPr>
          <w:p w:rsidR="000F3590" w:rsidRDefault="000F3590" w:rsidP="00884D44">
            <w:pPr>
              <w:pStyle w:val="TableText"/>
              <w:keepNext w:val="0"/>
              <w:widowControl w:val="0"/>
              <w:ind w:left="40"/>
              <w:rPr>
                <w:lang w:bidi="x-none"/>
              </w:rPr>
            </w:pPr>
            <w:r>
              <w:rPr>
                <w:lang w:bidi="x-none"/>
              </w:rPr>
              <w:t>Table 2.2 or attachment</w:t>
            </w:r>
          </w:p>
        </w:tc>
        <w:tc>
          <w:tcPr>
            <w:tcW w:w="631" w:type="pct"/>
            <w:shd w:val="pct50" w:color="E5DBD2" w:fill="FFFFFF"/>
          </w:tcPr>
          <w:p w:rsidR="000F3590" w:rsidRDefault="000F3590" w:rsidP="00884D44">
            <w:pPr>
              <w:pStyle w:val="TableText"/>
              <w:keepNext w:val="0"/>
              <w:widowControl w:val="0"/>
              <w:ind w:left="0"/>
              <w:rPr>
                <w:lang w:bidi="x-none"/>
              </w:rPr>
            </w:pPr>
          </w:p>
        </w:tc>
      </w:tr>
      <w:tr w:rsidR="000F3590" w:rsidTr="00A6323C">
        <w:trPr>
          <w:trHeight w:val="30"/>
          <w:tblHeader/>
        </w:trPr>
        <w:tc>
          <w:tcPr>
            <w:tcW w:w="1793" w:type="pct"/>
            <w:shd w:val="pct50" w:color="E5DBD2" w:fill="FFFFFF"/>
          </w:tcPr>
          <w:p w:rsidR="000F3590" w:rsidRDefault="000F3590" w:rsidP="00884D44">
            <w:pPr>
              <w:pStyle w:val="TableText"/>
              <w:keepNext w:val="0"/>
              <w:widowControl w:val="0"/>
              <w:ind w:left="34"/>
              <w:rPr>
                <w:lang w:bidi="x-none"/>
              </w:rPr>
            </w:pPr>
          </w:p>
        </w:tc>
        <w:tc>
          <w:tcPr>
            <w:tcW w:w="1333" w:type="pct"/>
            <w:shd w:val="pct50" w:color="E5DBD2" w:fill="FFFFFF"/>
          </w:tcPr>
          <w:p w:rsidR="000F3590" w:rsidRDefault="000F3590" w:rsidP="00884D44">
            <w:pPr>
              <w:pStyle w:val="TableText"/>
              <w:keepNext w:val="0"/>
              <w:widowControl w:val="0"/>
              <w:ind w:left="-34"/>
              <w:rPr>
                <w:lang w:bidi="x-none"/>
              </w:rPr>
            </w:pPr>
            <w:r>
              <w:rPr>
                <w:lang w:bidi="x-none"/>
              </w:rPr>
              <w:t>Construction costs</w:t>
            </w:r>
          </w:p>
        </w:tc>
        <w:tc>
          <w:tcPr>
            <w:tcW w:w="1243" w:type="pct"/>
            <w:shd w:val="pct50" w:color="E5DBD2" w:fill="FFFFFF"/>
          </w:tcPr>
          <w:p w:rsidR="000F3590" w:rsidRDefault="000F3590" w:rsidP="00884D44">
            <w:pPr>
              <w:pStyle w:val="TableText"/>
              <w:keepNext w:val="0"/>
              <w:widowControl w:val="0"/>
              <w:ind w:left="40"/>
              <w:rPr>
                <w:lang w:bidi="x-none"/>
              </w:rPr>
            </w:pPr>
            <w:r>
              <w:rPr>
                <w:lang w:bidi="x-none"/>
              </w:rPr>
              <w:t>Table 2.2 or attachment</w:t>
            </w:r>
          </w:p>
        </w:tc>
        <w:tc>
          <w:tcPr>
            <w:tcW w:w="631" w:type="pct"/>
            <w:shd w:val="pct50" w:color="E5DBD2" w:fill="FFFFFF"/>
          </w:tcPr>
          <w:p w:rsidR="000F3590" w:rsidRDefault="000F3590" w:rsidP="00884D44">
            <w:pPr>
              <w:pStyle w:val="TableText"/>
              <w:keepNext w:val="0"/>
              <w:widowControl w:val="0"/>
              <w:ind w:left="0"/>
              <w:rPr>
                <w:lang w:bidi="x-none"/>
              </w:rPr>
            </w:pPr>
          </w:p>
        </w:tc>
      </w:tr>
      <w:tr w:rsidR="000F3590" w:rsidTr="00A6323C">
        <w:trPr>
          <w:trHeight w:val="30"/>
          <w:tblHeader/>
        </w:trPr>
        <w:tc>
          <w:tcPr>
            <w:tcW w:w="1793" w:type="pct"/>
            <w:shd w:val="pct50" w:color="E5DBD2" w:fill="FFFFFF"/>
          </w:tcPr>
          <w:p w:rsidR="000F3590" w:rsidRDefault="000F3590" w:rsidP="00884D44">
            <w:pPr>
              <w:pStyle w:val="TableText"/>
              <w:keepNext w:val="0"/>
              <w:widowControl w:val="0"/>
              <w:ind w:left="34"/>
              <w:rPr>
                <w:lang w:bidi="x-none"/>
              </w:rPr>
            </w:pPr>
          </w:p>
        </w:tc>
        <w:tc>
          <w:tcPr>
            <w:tcW w:w="1333" w:type="pct"/>
            <w:shd w:val="pct50" w:color="E5DBD2" w:fill="FFFFFF"/>
          </w:tcPr>
          <w:p w:rsidR="000F3590" w:rsidRDefault="000F3590" w:rsidP="00884D44">
            <w:pPr>
              <w:pStyle w:val="TableText"/>
              <w:keepNext w:val="0"/>
              <w:widowControl w:val="0"/>
              <w:ind w:left="-34"/>
              <w:rPr>
                <w:lang w:bidi="x-none"/>
              </w:rPr>
            </w:pPr>
            <w:r>
              <w:rPr>
                <w:lang w:bidi="x-none"/>
              </w:rPr>
              <w:t>Refurbishment costs</w:t>
            </w:r>
          </w:p>
        </w:tc>
        <w:tc>
          <w:tcPr>
            <w:tcW w:w="1243" w:type="pct"/>
            <w:shd w:val="pct50" w:color="E5DBD2" w:fill="FFFFFF"/>
          </w:tcPr>
          <w:p w:rsidR="000F3590" w:rsidRDefault="000F3590" w:rsidP="00884D44">
            <w:pPr>
              <w:pStyle w:val="TableText"/>
              <w:keepNext w:val="0"/>
              <w:widowControl w:val="0"/>
              <w:ind w:left="40"/>
              <w:rPr>
                <w:lang w:bidi="x-none"/>
              </w:rPr>
            </w:pPr>
            <w:r>
              <w:rPr>
                <w:lang w:bidi="x-none"/>
              </w:rPr>
              <w:t>Table 2.2 or attachment</w:t>
            </w:r>
          </w:p>
        </w:tc>
        <w:tc>
          <w:tcPr>
            <w:tcW w:w="631" w:type="pct"/>
            <w:shd w:val="pct50" w:color="E5DBD2" w:fill="FFFFFF"/>
          </w:tcPr>
          <w:p w:rsidR="000F3590" w:rsidRDefault="000F3590" w:rsidP="00884D44">
            <w:pPr>
              <w:pStyle w:val="TableText"/>
              <w:keepNext w:val="0"/>
              <w:widowControl w:val="0"/>
              <w:ind w:left="0"/>
              <w:rPr>
                <w:lang w:bidi="x-none"/>
              </w:rPr>
            </w:pPr>
          </w:p>
        </w:tc>
      </w:tr>
      <w:tr w:rsidR="000F3590" w:rsidTr="00A6323C">
        <w:trPr>
          <w:trHeight w:val="30"/>
          <w:tblHeader/>
        </w:trPr>
        <w:tc>
          <w:tcPr>
            <w:tcW w:w="1793" w:type="pct"/>
            <w:shd w:val="pct50" w:color="E5DBD2" w:fill="FFFFFF"/>
          </w:tcPr>
          <w:p w:rsidR="000F3590" w:rsidRDefault="000F3590" w:rsidP="00884D44">
            <w:pPr>
              <w:pStyle w:val="TableText"/>
              <w:keepNext w:val="0"/>
              <w:widowControl w:val="0"/>
              <w:ind w:left="34"/>
              <w:rPr>
                <w:lang w:bidi="x-none"/>
              </w:rPr>
            </w:pPr>
          </w:p>
        </w:tc>
        <w:tc>
          <w:tcPr>
            <w:tcW w:w="1333" w:type="pct"/>
            <w:shd w:val="pct50" w:color="E5DBD2" w:fill="FFFFFF"/>
          </w:tcPr>
          <w:p w:rsidR="000F3590" w:rsidRDefault="000F3590" w:rsidP="00884D44">
            <w:pPr>
              <w:pStyle w:val="TableText"/>
              <w:keepNext w:val="0"/>
              <w:widowControl w:val="0"/>
              <w:ind w:left="-34"/>
              <w:rPr>
                <w:lang w:bidi="x-none"/>
              </w:rPr>
            </w:pPr>
            <w:r>
              <w:rPr>
                <w:lang w:bidi="x-none"/>
              </w:rPr>
              <w:t>Fit outs/furnishings/equipment</w:t>
            </w:r>
          </w:p>
        </w:tc>
        <w:tc>
          <w:tcPr>
            <w:tcW w:w="1243" w:type="pct"/>
            <w:shd w:val="pct50" w:color="E5DBD2" w:fill="FFFFFF"/>
          </w:tcPr>
          <w:p w:rsidR="000F3590" w:rsidRDefault="000F3590" w:rsidP="00884D44">
            <w:pPr>
              <w:pStyle w:val="TableText"/>
              <w:keepNext w:val="0"/>
              <w:widowControl w:val="0"/>
              <w:ind w:left="40"/>
              <w:rPr>
                <w:lang w:bidi="x-none"/>
              </w:rPr>
            </w:pPr>
            <w:r>
              <w:rPr>
                <w:lang w:bidi="x-none"/>
              </w:rPr>
              <w:t>Table 2.2 or attachment</w:t>
            </w:r>
          </w:p>
        </w:tc>
        <w:tc>
          <w:tcPr>
            <w:tcW w:w="631" w:type="pct"/>
            <w:shd w:val="pct50" w:color="E5DBD2" w:fill="FFFFFF"/>
          </w:tcPr>
          <w:p w:rsidR="000F3590" w:rsidRDefault="000F3590" w:rsidP="00884D44">
            <w:pPr>
              <w:pStyle w:val="TableText"/>
              <w:keepNext w:val="0"/>
              <w:widowControl w:val="0"/>
              <w:ind w:left="0"/>
              <w:rPr>
                <w:lang w:bidi="x-none"/>
              </w:rPr>
            </w:pPr>
          </w:p>
        </w:tc>
      </w:tr>
      <w:tr w:rsidR="000F3590" w:rsidTr="00A6323C">
        <w:trPr>
          <w:trHeight w:val="30"/>
          <w:tblHeader/>
        </w:trPr>
        <w:tc>
          <w:tcPr>
            <w:tcW w:w="1793" w:type="pct"/>
            <w:shd w:val="pct50" w:color="E5DBD2" w:fill="FFFFFF"/>
          </w:tcPr>
          <w:p w:rsidR="000F3590" w:rsidRDefault="000F3590" w:rsidP="00884D44">
            <w:pPr>
              <w:pStyle w:val="TableText"/>
              <w:keepNext w:val="0"/>
              <w:widowControl w:val="0"/>
              <w:ind w:left="34"/>
              <w:rPr>
                <w:lang w:bidi="x-none"/>
              </w:rPr>
            </w:pPr>
          </w:p>
        </w:tc>
        <w:tc>
          <w:tcPr>
            <w:tcW w:w="1333" w:type="pct"/>
            <w:shd w:val="pct50" w:color="E5DBD2" w:fill="FFFFFF"/>
          </w:tcPr>
          <w:p w:rsidR="000F3590" w:rsidRDefault="000F3590" w:rsidP="00884D44">
            <w:pPr>
              <w:pStyle w:val="TableText"/>
              <w:keepNext w:val="0"/>
              <w:widowControl w:val="0"/>
              <w:ind w:left="-34"/>
              <w:rPr>
                <w:lang w:bidi="x-none"/>
              </w:rPr>
            </w:pPr>
            <w:r>
              <w:rPr>
                <w:lang w:bidi="x-none"/>
              </w:rPr>
              <w:t>Financing</w:t>
            </w:r>
          </w:p>
        </w:tc>
        <w:tc>
          <w:tcPr>
            <w:tcW w:w="1243" w:type="pct"/>
            <w:shd w:val="pct50" w:color="E5DBD2" w:fill="FFFFFF"/>
          </w:tcPr>
          <w:p w:rsidR="000F3590" w:rsidRDefault="000F3590" w:rsidP="00884D44">
            <w:pPr>
              <w:pStyle w:val="TableText"/>
              <w:keepNext w:val="0"/>
              <w:widowControl w:val="0"/>
              <w:ind w:left="40"/>
              <w:rPr>
                <w:lang w:bidi="x-none"/>
              </w:rPr>
            </w:pPr>
            <w:r>
              <w:rPr>
                <w:lang w:bidi="x-none"/>
              </w:rPr>
              <w:t>Table 2.2 or attachment</w:t>
            </w:r>
          </w:p>
        </w:tc>
        <w:tc>
          <w:tcPr>
            <w:tcW w:w="631" w:type="pct"/>
            <w:shd w:val="pct50" w:color="E5DBD2" w:fill="FFFFFF"/>
          </w:tcPr>
          <w:p w:rsidR="000F3590" w:rsidRDefault="000F3590" w:rsidP="00884D44">
            <w:pPr>
              <w:pStyle w:val="TableText"/>
              <w:keepNext w:val="0"/>
              <w:widowControl w:val="0"/>
              <w:ind w:left="0"/>
              <w:rPr>
                <w:lang w:bidi="x-none"/>
              </w:rPr>
            </w:pPr>
          </w:p>
        </w:tc>
      </w:tr>
      <w:tr w:rsidR="000F3590" w:rsidTr="00A6323C">
        <w:trPr>
          <w:trHeight w:val="30"/>
          <w:tblHeader/>
        </w:trPr>
        <w:tc>
          <w:tcPr>
            <w:tcW w:w="1793" w:type="pct"/>
            <w:shd w:val="pct50" w:color="E5DBD2" w:fill="FFFFFF"/>
          </w:tcPr>
          <w:p w:rsidR="000F3590" w:rsidRDefault="000F3590" w:rsidP="00884D44">
            <w:pPr>
              <w:pStyle w:val="TableText"/>
              <w:keepNext w:val="0"/>
              <w:widowControl w:val="0"/>
              <w:ind w:left="34"/>
              <w:rPr>
                <w:lang w:bidi="x-none"/>
              </w:rPr>
            </w:pPr>
          </w:p>
        </w:tc>
        <w:tc>
          <w:tcPr>
            <w:tcW w:w="1333" w:type="pct"/>
            <w:shd w:val="pct50" w:color="E5DBD2" w:fill="FFFFFF"/>
          </w:tcPr>
          <w:p w:rsidR="000F3590" w:rsidRDefault="000F3590" w:rsidP="00884D44">
            <w:pPr>
              <w:pStyle w:val="TableText"/>
              <w:keepNext w:val="0"/>
              <w:widowControl w:val="0"/>
              <w:ind w:left="-34"/>
              <w:rPr>
                <w:lang w:bidi="x-none"/>
              </w:rPr>
            </w:pPr>
            <w:r>
              <w:rPr>
                <w:lang w:bidi="x-none"/>
              </w:rPr>
              <w:t>Leasehold</w:t>
            </w:r>
          </w:p>
        </w:tc>
        <w:tc>
          <w:tcPr>
            <w:tcW w:w="1243" w:type="pct"/>
            <w:shd w:val="pct50" w:color="E5DBD2" w:fill="FFFFFF"/>
          </w:tcPr>
          <w:p w:rsidR="000F3590" w:rsidRDefault="000F3590" w:rsidP="00884D44">
            <w:pPr>
              <w:pStyle w:val="TableText"/>
              <w:keepNext w:val="0"/>
              <w:widowControl w:val="0"/>
              <w:ind w:left="40"/>
              <w:rPr>
                <w:lang w:bidi="x-none"/>
              </w:rPr>
            </w:pPr>
            <w:r>
              <w:rPr>
                <w:lang w:bidi="x-none"/>
              </w:rPr>
              <w:t>Table 2.2 or attachment</w:t>
            </w:r>
          </w:p>
        </w:tc>
        <w:tc>
          <w:tcPr>
            <w:tcW w:w="631" w:type="pct"/>
            <w:shd w:val="pct50" w:color="E5DBD2" w:fill="FFFFFF"/>
          </w:tcPr>
          <w:p w:rsidR="000F3590" w:rsidRDefault="000F3590" w:rsidP="00884D44">
            <w:pPr>
              <w:pStyle w:val="TableText"/>
              <w:keepNext w:val="0"/>
              <w:widowControl w:val="0"/>
              <w:ind w:left="0"/>
              <w:rPr>
                <w:lang w:bidi="x-none"/>
              </w:rPr>
            </w:pPr>
          </w:p>
        </w:tc>
      </w:tr>
      <w:tr w:rsidR="006373F8" w:rsidTr="00A6323C">
        <w:trPr>
          <w:trHeight w:val="30"/>
          <w:tblHeader/>
        </w:trPr>
        <w:tc>
          <w:tcPr>
            <w:tcW w:w="1793" w:type="pct"/>
            <w:shd w:val="pct50" w:color="E5DBD2" w:fill="FFFFFF"/>
          </w:tcPr>
          <w:p w:rsidR="006373F8" w:rsidRDefault="006373F8" w:rsidP="00884D44">
            <w:pPr>
              <w:pStyle w:val="TableText"/>
              <w:keepNext w:val="0"/>
              <w:widowControl w:val="0"/>
              <w:ind w:left="34"/>
              <w:rPr>
                <w:lang w:bidi="x-none"/>
              </w:rPr>
            </w:pPr>
          </w:p>
        </w:tc>
        <w:tc>
          <w:tcPr>
            <w:tcW w:w="1333" w:type="pct"/>
            <w:shd w:val="pct50" w:color="E5DBD2" w:fill="FFFFFF"/>
          </w:tcPr>
          <w:p w:rsidR="006373F8" w:rsidRDefault="006373F8" w:rsidP="00884D44">
            <w:pPr>
              <w:pStyle w:val="TableText"/>
              <w:keepNext w:val="0"/>
              <w:widowControl w:val="0"/>
              <w:ind w:left="-34"/>
              <w:rPr>
                <w:lang w:bidi="x-none"/>
              </w:rPr>
            </w:pPr>
            <w:r>
              <w:rPr>
                <w:lang w:bidi="x-none"/>
              </w:rPr>
              <w:t>Bond history</w:t>
            </w:r>
          </w:p>
        </w:tc>
        <w:tc>
          <w:tcPr>
            <w:tcW w:w="1243" w:type="pct"/>
            <w:shd w:val="pct50" w:color="E5DBD2" w:fill="FFFFFF"/>
          </w:tcPr>
          <w:p w:rsidR="006373F8" w:rsidRDefault="006373F8" w:rsidP="00884D44">
            <w:pPr>
              <w:pStyle w:val="TableText"/>
              <w:keepNext w:val="0"/>
              <w:widowControl w:val="0"/>
              <w:ind w:left="40"/>
              <w:rPr>
                <w:lang w:bidi="x-none"/>
              </w:rPr>
            </w:pPr>
            <w:r>
              <w:rPr>
                <w:lang w:bidi="x-none"/>
              </w:rPr>
              <w:t>Table 2.1, 2.2 or at</w:t>
            </w:r>
            <w:r w:rsidR="00072710">
              <w:rPr>
                <w:lang w:bidi="x-none"/>
              </w:rPr>
              <w:t>t</w:t>
            </w:r>
            <w:r>
              <w:rPr>
                <w:lang w:bidi="x-none"/>
              </w:rPr>
              <w:t>achment</w:t>
            </w:r>
          </w:p>
        </w:tc>
        <w:tc>
          <w:tcPr>
            <w:tcW w:w="631" w:type="pct"/>
            <w:shd w:val="pct50" w:color="E5DBD2" w:fill="FFFFFF"/>
          </w:tcPr>
          <w:p w:rsidR="006373F8" w:rsidRDefault="006373F8" w:rsidP="00884D44">
            <w:pPr>
              <w:pStyle w:val="TableText"/>
              <w:keepNext w:val="0"/>
              <w:widowControl w:val="0"/>
              <w:ind w:left="0"/>
              <w:rPr>
                <w:lang w:bidi="x-none"/>
              </w:rPr>
            </w:pPr>
          </w:p>
        </w:tc>
      </w:tr>
      <w:tr w:rsidR="000F3590" w:rsidTr="00A6323C">
        <w:trPr>
          <w:trHeight w:val="30"/>
          <w:tblHeader/>
        </w:trPr>
        <w:tc>
          <w:tcPr>
            <w:tcW w:w="1793" w:type="pct"/>
            <w:shd w:val="pct50" w:color="E5DBD2" w:fill="FFFFFF"/>
          </w:tcPr>
          <w:p w:rsidR="000F3590" w:rsidRDefault="000F3590" w:rsidP="00884D44">
            <w:pPr>
              <w:pStyle w:val="TableText"/>
              <w:keepNext w:val="0"/>
              <w:widowControl w:val="0"/>
              <w:ind w:left="34"/>
              <w:rPr>
                <w:lang w:bidi="x-none"/>
              </w:rPr>
            </w:pPr>
          </w:p>
        </w:tc>
        <w:tc>
          <w:tcPr>
            <w:tcW w:w="1333" w:type="pct"/>
            <w:shd w:val="pct50" w:color="E5DBD2" w:fill="FFFFFF"/>
          </w:tcPr>
          <w:p w:rsidR="000F3590" w:rsidRPr="00DD4482" w:rsidRDefault="000F3590" w:rsidP="00884D44">
            <w:pPr>
              <w:pStyle w:val="TableText"/>
              <w:keepNext w:val="0"/>
              <w:widowControl w:val="0"/>
              <w:ind w:left="-34"/>
              <w:rPr>
                <w:lang w:bidi="x-none"/>
              </w:rPr>
            </w:pPr>
            <w:r>
              <w:rPr>
                <w:lang w:bidi="x-none"/>
              </w:rPr>
              <w:t>Cost information sufficient for assessment?</w:t>
            </w:r>
          </w:p>
        </w:tc>
        <w:tc>
          <w:tcPr>
            <w:tcW w:w="1243" w:type="pct"/>
            <w:shd w:val="pct50" w:color="E5DBD2" w:fill="FFFFFF"/>
          </w:tcPr>
          <w:p w:rsidR="000F3590" w:rsidRDefault="000F3590" w:rsidP="00884D44">
            <w:pPr>
              <w:pStyle w:val="TableText"/>
              <w:keepNext w:val="0"/>
              <w:widowControl w:val="0"/>
              <w:ind w:left="40"/>
              <w:rPr>
                <w:lang w:bidi="x-none"/>
              </w:rPr>
            </w:pPr>
            <w:r>
              <w:rPr>
                <w:lang w:bidi="x-none"/>
              </w:rPr>
              <w:t>Application and attachments</w:t>
            </w:r>
          </w:p>
        </w:tc>
        <w:tc>
          <w:tcPr>
            <w:tcW w:w="631" w:type="pct"/>
            <w:shd w:val="pct50" w:color="E5DBD2" w:fill="FFFFFF"/>
          </w:tcPr>
          <w:p w:rsidR="000F3590" w:rsidRDefault="000F3590" w:rsidP="00884D44">
            <w:pPr>
              <w:pStyle w:val="TableText"/>
              <w:keepNext w:val="0"/>
              <w:widowControl w:val="0"/>
              <w:ind w:left="0"/>
              <w:rPr>
                <w:lang w:bidi="x-none"/>
              </w:rPr>
            </w:pPr>
          </w:p>
        </w:tc>
      </w:tr>
      <w:tr w:rsidR="000F3590" w:rsidTr="00A6323C">
        <w:trPr>
          <w:trHeight w:val="30"/>
          <w:tblHeader/>
        </w:trPr>
        <w:tc>
          <w:tcPr>
            <w:tcW w:w="1793" w:type="pct"/>
            <w:shd w:val="pct50" w:color="E5DBD2" w:fill="FFFFFF"/>
          </w:tcPr>
          <w:p w:rsidR="000F3590" w:rsidRDefault="004D0771" w:rsidP="00884D44">
            <w:pPr>
              <w:pStyle w:val="TableText"/>
              <w:keepNext w:val="0"/>
              <w:widowControl w:val="0"/>
              <w:ind w:left="34"/>
              <w:rPr>
                <w:lang w:bidi="x-none"/>
              </w:rPr>
            </w:pPr>
            <w:r>
              <w:rPr>
                <w:lang w:bidi="x-none"/>
              </w:rPr>
              <w:t xml:space="preserve">A.1 Specifications and </w:t>
            </w:r>
            <w:r w:rsidR="000F3590">
              <w:rPr>
                <w:lang w:bidi="x-none"/>
              </w:rPr>
              <w:t>A.2 Quality, condition and amenity</w:t>
            </w:r>
          </w:p>
        </w:tc>
        <w:tc>
          <w:tcPr>
            <w:tcW w:w="1333" w:type="pct"/>
            <w:shd w:val="pct50" w:color="E5DBD2" w:fill="FFFFFF"/>
          </w:tcPr>
          <w:p w:rsidR="000F3590" w:rsidRDefault="000F3590" w:rsidP="00884D44">
            <w:pPr>
              <w:pStyle w:val="TableText"/>
              <w:keepNext w:val="0"/>
              <w:widowControl w:val="0"/>
              <w:ind w:left="-34"/>
              <w:rPr>
                <w:lang w:bidi="x-none"/>
              </w:rPr>
            </w:pPr>
            <w:r>
              <w:rPr>
                <w:lang w:bidi="x-none"/>
              </w:rPr>
              <w:t>Specification checklist completed</w:t>
            </w:r>
            <w:r w:rsidR="005C5E0A">
              <w:rPr>
                <w:lang w:bidi="x-none"/>
              </w:rPr>
              <w:t xml:space="preserve"> or information otherwise supplied</w:t>
            </w:r>
          </w:p>
        </w:tc>
        <w:tc>
          <w:tcPr>
            <w:tcW w:w="1243" w:type="pct"/>
            <w:shd w:val="pct50" w:color="E5DBD2" w:fill="FFFFFF"/>
          </w:tcPr>
          <w:p w:rsidR="000F3590" w:rsidRDefault="000F3590" w:rsidP="00884D44">
            <w:pPr>
              <w:pStyle w:val="TableText"/>
              <w:keepNext w:val="0"/>
              <w:widowControl w:val="0"/>
              <w:ind w:left="40"/>
              <w:rPr>
                <w:lang w:bidi="x-none"/>
              </w:rPr>
            </w:pPr>
            <w:r>
              <w:rPr>
                <w:lang w:bidi="x-none"/>
              </w:rPr>
              <w:t>A.1 and A.2</w:t>
            </w:r>
          </w:p>
        </w:tc>
        <w:tc>
          <w:tcPr>
            <w:tcW w:w="631" w:type="pct"/>
            <w:shd w:val="pct50" w:color="E5DBD2" w:fill="FFFFFF"/>
          </w:tcPr>
          <w:p w:rsidR="000F3590" w:rsidRDefault="000F3590" w:rsidP="00884D44">
            <w:pPr>
              <w:pStyle w:val="TableText"/>
              <w:keepNext w:val="0"/>
              <w:widowControl w:val="0"/>
              <w:ind w:left="0"/>
              <w:rPr>
                <w:lang w:bidi="x-none"/>
              </w:rPr>
            </w:pPr>
          </w:p>
        </w:tc>
      </w:tr>
    </w:tbl>
    <w:p w:rsidR="00884D44" w:rsidRDefault="00884D44" w:rsidP="00884D44"/>
    <w:p w:rsidR="00884D44" w:rsidRDefault="00884D44" w:rsidP="00884D44">
      <w:r>
        <w:t xml:space="preserve">*Cost of supply components are not required information: just those relevant to the particular application. </w:t>
      </w:r>
    </w:p>
    <w:p w:rsidR="00884D44" w:rsidRDefault="00884D44" w:rsidP="00884D44"/>
    <w:p w:rsidR="00884D44" w:rsidRPr="002E1812" w:rsidRDefault="00884D44" w:rsidP="00884D44">
      <w:pPr>
        <w:rPr>
          <w:sz w:val="22"/>
          <w:szCs w:val="22"/>
        </w:rPr>
      </w:pPr>
      <w:r w:rsidRPr="002E1812">
        <w:rPr>
          <w:sz w:val="22"/>
          <w:szCs w:val="22"/>
        </w:rPr>
        <w:t xml:space="preserve">In making an assessment as to whether cost </w:t>
      </w:r>
      <w:r w:rsidR="000F3590">
        <w:rPr>
          <w:sz w:val="22"/>
          <w:szCs w:val="22"/>
        </w:rPr>
        <w:t>information is</w:t>
      </w:r>
      <w:r w:rsidRPr="002E1812">
        <w:rPr>
          <w:sz w:val="22"/>
          <w:szCs w:val="22"/>
        </w:rPr>
        <w:t xml:space="preserve"> sufficient, assessors should consider the following:</w:t>
      </w:r>
    </w:p>
    <w:p w:rsidR="00884D44" w:rsidRPr="002E1812" w:rsidRDefault="00884D44" w:rsidP="00884D44">
      <w:pPr>
        <w:rPr>
          <w:sz w:val="22"/>
          <w:szCs w:val="22"/>
        </w:rPr>
      </w:pPr>
    </w:p>
    <w:p w:rsidR="00884D44" w:rsidRDefault="00884D44" w:rsidP="00884D44">
      <w:pPr>
        <w:pStyle w:val="ListParagraph"/>
        <w:numPr>
          <w:ilvl w:val="0"/>
          <w:numId w:val="25"/>
        </w:numPr>
        <w:rPr>
          <w:sz w:val="22"/>
          <w:szCs w:val="22"/>
        </w:rPr>
      </w:pPr>
      <w:r>
        <w:rPr>
          <w:sz w:val="22"/>
          <w:szCs w:val="22"/>
        </w:rPr>
        <w:t>Different cost information may be relevant according to the type of facility (whether existing, proposed new, or proposed refurbished) and according to the particular business model of the applicant.</w:t>
      </w:r>
    </w:p>
    <w:p w:rsidR="00884D44" w:rsidRDefault="00884D44" w:rsidP="00884D44">
      <w:pPr>
        <w:pStyle w:val="ListParagraph"/>
        <w:rPr>
          <w:sz w:val="22"/>
          <w:szCs w:val="22"/>
        </w:rPr>
      </w:pPr>
    </w:p>
    <w:p w:rsidR="00884D44" w:rsidRPr="002E1812" w:rsidRDefault="00884D44" w:rsidP="00884D44">
      <w:pPr>
        <w:pStyle w:val="ListParagraph"/>
        <w:numPr>
          <w:ilvl w:val="0"/>
          <w:numId w:val="25"/>
        </w:numPr>
        <w:rPr>
          <w:sz w:val="22"/>
          <w:szCs w:val="22"/>
        </w:rPr>
      </w:pPr>
      <w:r w:rsidRPr="002E1812">
        <w:rPr>
          <w:sz w:val="22"/>
          <w:szCs w:val="22"/>
        </w:rPr>
        <w:t xml:space="preserve">For an existing facility, </w:t>
      </w:r>
      <w:r w:rsidR="00EF6EDB">
        <w:rPr>
          <w:sz w:val="22"/>
          <w:szCs w:val="22"/>
        </w:rPr>
        <w:t xml:space="preserve">factors such as </w:t>
      </w:r>
      <w:r w:rsidRPr="002E1812">
        <w:rPr>
          <w:sz w:val="22"/>
          <w:szCs w:val="22"/>
        </w:rPr>
        <w:t>land and building valu</w:t>
      </w:r>
      <w:r w:rsidR="00CA785A">
        <w:rPr>
          <w:sz w:val="22"/>
          <w:szCs w:val="22"/>
        </w:rPr>
        <w:t>e</w:t>
      </w:r>
      <w:r w:rsidR="000F3590">
        <w:rPr>
          <w:sz w:val="22"/>
          <w:szCs w:val="22"/>
        </w:rPr>
        <w:t xml:space="preserve"> or other indicators of </w:t>
      </w:r>
      <w:r w:rsidR="00CA785A">
        <w:rPr>
          <w:sz w:val="22"/>
          <w:szCs w:val="22"/>
        </w:rPr>
        <w:t xml:space="preserve">insured or replacement </w:t>
      </w:r>
      <w:r w:rsidR="000F3590">
        <w:rPr>
          <w:sz w:val="22"/>
          <w:szCs w:val="22"/>
        </w:rPr>
        <w:t>value</w:t>
      </w:r>
      <w:r w:rsidRPr="002E1812">
        <w:rPr>
          <w:sz w:val="22"/>
          <w:szCs w:val="22"/>
        </w:rPr>
        <w:t xml:space="preserve"> </w:t>
      </w:r>
      <w:r>
        <w:rPr>
          <w:sz w:val="22"/>
          <w:szCs w:val="22"/>
        </w:rPr>
        <w:t>may</w:t>
      </w:r>
      <w:r w:rsidRPr="002E1812">
        <w:rPr>
          <w:sz w:val="22"/>
          <w:szCs w:val="22"/>
        </w:rPr>
        <w:t xml:space="preserve"> be included, and any relevant financing costs.</w:t>
      </w:r>
    </w:p>
    <w:p w:rsidR="00884D44" w:rsidRPr="002E1812" w:rsidRDefault="00884D44" w:rsidP="00884D44">
      <w:pPr>
        <w:rPr>
          <w:sz w:val="22"/>
          <w:szCs w:val="22"/>
        </w:rPr>
      </w:pPr>
    </w:p>
    <w:p w:rsidR="00884D44" w:rsidRPr="002E1812" w:rsidRDefault="00884D44" w:rsidP="00884D44">
      <w:pPr>
        <w:pStyle w:val="ListParagraph"/>
        <w:numPr>
          <w:ilvl w:val="0"/>
          <w:numId w:val="25"/>
        </w:numPr>
        <w:rPr>
          <w:sz w:val="22"/>
          <w:szCs w:val="22"/>
        </w:rPr>
      </w:pPr>
      <w:r w:rsidRPr="002E1812">
        <w:rPr>
          <w:sz w:val="22"/>
          <w:szCs w:val="22"/>
        </w:rPr>
        <w:t xml:space="preserve">For a proposed new or proposed refurbished facility, </w:t>
      </w:r>
      <w:r w:rsidR="00EF6EDB">
        <w:rPr>
          <w:sz w:val="22"/>
          <w:szCs w:val="22"/>
        </w:rPr>
        <w:t xml:space="preserve">factors such as </w:t>
      </w:r>
      <w:r w:rsidRPr="002E1812">
        <w:rPr>
          <w:sz w:val="22"/>
          <w:szCs w:val="22"/>
        </w:rPr>
        <w:t xml:space="preserve">land cost, construction or refurbishment cost and any associated cost such as fit out, furnishing and equipment </w:t>
      </w:r>
      <w:r>
        <w:rPr>
          <w:sz w:val="22"/>
          <w:szCs w:val="22"/>
        </w:rPr>
        <w:t>may</w:t>
      </w:r>
      <w:r w:rsidRPr="002E1812">
        <w:rPr>
          <w:sz w:val="22"/>
          <w:szCs w:val="22"/>
        </w:rPr>
        <w:t xml:space="preserve"> be included, and any relevant financing costs.</w:t>
      </w:r>
    </w:p>
    <w:p w:rsidR="00884D44" w:rsidRPr="002E1812" w:rsidRDefault="00884D44" w:rsidP="00884D44">
      <w:pPr>
        <w:rPr>
          <w:sz w:val="22"/>
          <w:szCs w:val="22"/>
        </w:rPr>
      </w:pPr>
    </w:p>
    <w:p w:rsidR="00884D44" w:rsidRPr="002E1812" w:rsidRDefault="00884D44" w:rsidP="00884D44">
      <w:pPr>
        <w:rPr>
          <w:sz w:val="22"/>
          <w:szCs w:val="22"/>
        </w:rPr>
      </w:pPr>
      <w:r w:rsidRPr="002E1812">
        <w:rPr>
          <w:sz w:val="22"/>
          <w:szCs w:val="22"/>
        </w:rPr>
        <w:t xml:space="preserve">If </w:t>
      </w:r>
      <w:r w:rsidR="00EB0512">
        <w:rPr>
          <w:sz w:val="22"/>
          <w:szCs w:val="22"/>
        </w:rPr>
        <w:t xml:space="preserve">it has been determined at Step 4 </w:t>
      </w:r>
      <w:r w:rsidR="00EF6EDB">
        <w:rPr>
          <w:sz w:val="22"/>
          <w:szCs w:val="22"/>
        </w:rPr>
        <w:t>that sufficient information has been included to make an assessment,</w:t>
      </w:r>
      <w:r w:rsidRPr="002E1812">
        <w:rPr>
          <w:sz w:val="22"/>
          <w:szCs w:val="22"/>
        </w:rPr>
        <w:t xml:space="preserve"> as</w:t>
      </w:r>
      <w:r w:rsidR="000F3590">
        <w:rPr>
          <w:sz w:val="22"/>
          <w:szCs w:val="22"/>
        </w:rPr>
        <w:t>sessors are to proceed to Step 6</w:t>
      </w:r>
      <w:r w:rsidRPr="002E1812">
        <w:rPr>
          <w:sz w:val="22"/>
          <w:szCs w:val="22"/>
        </w:rPr>
        <w:t xml:space="preserve">. </w:t>
      </w:r>
      <w:r w:rsidR="00EB0512">
        <w:rPr>
          <w:sz w:val="22"/>
          <w:szCs w:val="22"/>
        </w:rPr>
        <w:t xml:space="preserve">Where the assessor is of the opinion that the applicant has not provided a sufficient level of the required information the assessor is to proceed to Step 5. </w:t>
      </w:r>
    </w:p>
    <w:p w:rsidR="00884D44" w:rsidRPr="00374C19" w:rsidRDefault="00884D44" w:rsidP="00884D44">
      <w:pPr>
        <w:rPr>
          <w:sz w:val="22"/>
          <w:szCs w:val="22"/>
        </w:rPr>
      </w:pPr>
    </w:p>
    <w:p w:rsidR="00884D44" w:rsidRDefault="00884D44" w:rsidP="00884D44">
      <w:pPr>
        <w:rPr>
          <w:sz w:val="22"/>
          <w:szCs w:val="22"/>
        </w:rPr>
      </w:pPr>
      <w:r w:rsidRPr="00374C19">
        <w:rPr>
          <w:sz w:val="22"/>
          <w:szCs w:val="22"/>
        </w:rPr>
        <w:t>These steps, including a brief description of further information sought and applicable timeframes</w:t>
      </w:r>
      <w:r>
        <w:rPr>
          <w:sz w:val="22"/>
          <w:szCs w:val="22"/>
        </w:rPr>
        <w:t>,</w:t>
      </w:r>
      <w:r w:rsidRPr="00374C19">
        <w:rPr>
          <w:sz w:val="22"/>
          <w:szCs w:val="22"/>
        </w:rPr>
        <w:t xml:space="preserve"> are to be recorded.</w:t>
      </w:r>
    </w:p>
    <w:p w:rsidR="00C07916" w:rsidRDefault="00C07916" w:rsidP="00884D44">
      <w:pPr>
        <w:rPr>
          <w:sz w:val="22"/>
          <w:szCs w:val="22"/>
        </w:rPr>
      </w:pPr>
    </w:p>
    <w:p w:rsidR="00C07916" w:rsidRPr="00374C19" w:rsidRDefault="00C07916" w:rsidP="00884D44">
      <w:pPr>
        <w:rPr>
          <w:sz w:val="22"/>
          <w:szCs w:val="22"/>
        </w:rPr>
      </w:pPr>
      <w:r>
        <w:rPr>
          <w:sz w:val="22"/>
          <w:szCs w:val="22"/>
        </w:rPr>
        <w:t>Where applications are for multiple accommodation group</w:t>
      </w:r>
      <w:r w:rsidR="000F3590">
        <w:rPr>
          <w:sz w:val="22"/>
          <w:szCs w:val="22"/>
        </w:rPr>
        <w:t>s, assessors should identify those</w:t>
      </w:r>
      <w:r>
        <w:rPr>
          <w:sz w:val="22"/>
          <w:szCs w:val="22"/>
        </w:rPr>
        <w:t xml:space="preserve"> particular accommodation group(s) for which furth</w:t>
      </w:r>
      <w:r w:rsidR="000F3590">
        <w:rPr>
          <w:sz w:val="22"/>
          <w:szCs w:val="22"/>
        </w:rPr>
        <w:t>er information is sought. If that</w:t>
      </w:r>
      <w:r>
        <w:rPr>
          <w:sz w:val="22"/>
          <w:szCs w:val="22"/>
        </w:rPr>
        <w:t xml:space="preserve"> further information is not relevant to all accommodation groups, assessors may continue with the assessment of the remaining accommodation groups</w:t>
      </w:r>
      <w:r w:rsidR="000F3590">
        <w:rPr>
          <w:sz w:val="22"/>
          <w:szCs w:val="22"/>
        </w:rPr>
        <w:t xml:space="preserve"> while notifying the applicant of the requirement for further information in respect of one or more of those groups</w:t>
      </w:r>
      <w:r>
        <w:rPr>
          <w:sz w:val="22"/>
          <w:szCs w:val="22"/>
        </w:rPr>
        <w:t>.</w:t>
      </w:r>
    </w:p>
    <w:p w:rsidR="00884D44" w:rsidRDefault="00884D44" w:rsidP="00884D44"/>
    <w:p w:rsidR="00884D44" w:rsidRDefault="000F3590" w:rsidP="00562E29">
      <w:pPr>
        <w:pStyle w:val="Heading4"/>
      </w:pPr>
      <w:bookmarkStart w:id="17" w:name="_Toc377471347"/>
      <w:r>
        <w:t>Step 5</w:t>
      </w:r>
      <w:r w:rsidR="00884D44">
        <w:t>: Seeking further information</w:t>
      </w:r>
      <w:bookmarkEnd w:id="17"/>
    </w:p>
    <w:p w:rsidR="00884D44" w:rsidRDefault="00884D44" w:rsidP="00884D44"/>
    <w:p w:rsidR="00884D44" w:rsidRPr="00374C19" w:rsidRDefault="00884D44" w:rsidP="00884D44">
      <w:pPr>
        <w:rPr>
          <w:sz w:val="22"/>
          <w:szCs w:val="22"/>
        </w:rPr>
      </w:pPr>
      <w:r w:rsidRPr="00374C19">
        <w:rPr>
          <w:sz w:val="22"/>
          <w:szCs w:val="22"/>
        </w:rPr>
        <w:t xml:space="preserve">Where the requirements in Table 1.2 above have </w:t>
      </w:r>
      <w:r w:rsidRPr="00374C19">
        <w:rPr>
          <w:sz w:val="22"/>
          <w:szCs w:val="22"/>
          <w:u w:val="single"/>
        </w:rPr>
        <w:t>not</w:t>
      </w:r>
      <w:r w:rsidRPr="00374C19">
        <w:rPr>
          <w:sz w:val="22"/>
          <w:szCs w:val="22"/>
        </w:rPr>
        <w:t xml:space="preserve"> been satisfied, assessors are to:</w:t>
      </w:r>
    </w:p>
    <w:p w:rsidR="00884D44" w:rsidRPr="00374C19" w:rsidRDefault="00884D44" w:rsidP="00884D44">
      <w:pPr>
        <w:rPr>
          <w:sz w:val="22"/>
          <w:szCs w:val="22"/>
        </w:rPr>
      </w:pPr>
    </w:p>
    <w:p w:rsidR="00884D44" w:rsidRDefault="00884D44" w:rsidP="00884D44">
      <w:pPr>
        <w:pStyle w:val="ListParagraph"/>
        <w:numPr>
          <w:ilvl w:val="0"/>
          <w:numId w:val="11"/>
        </w:numPr>
        <w:rPr>
          <w:sz w:val="22"/>
          <w:szCs w:val="22"/>
        </w:rPr>
      </w:pPr>
      <w:r w:rsidRPr="00374C19">
        <w:rPr>
          <w:sz w:val="22"/>
          <w:szCs w:val="22"/>
        </w:rPr>
        <w:t xml:space="preserve">Clearly identify the </w:t>
      </w:r>
      <w:r w:rsidR="00EB0512">
        <w:rPr>
          <w:sz w:val="22"/>
          <w:szCs w:val="22"/>
        </w:rPr>
        <w:t xml:space="preserve">further </w:t>
      </w:r>
      <w:r w:rsidRPr="00374C19">
        <w:rPr>
          <w:sz w:val="22"/>
          <w:szCs w:val="22"/>
        </w:rPr>
        <w:t>information required according to Table 1.2 above; and</w:t>
      </w:r>
    </w:p>
    <w:p w:rsidR="00884D44" w:rsidRPr="00374C19" w:rsidRDefault="00884D44" w:rsidP="00884D44">
      <w:pPr>
        <w:pStyle w:val="ListParagraph"/>
        <w:rPr>
          <w:sz w:val="22"/>
          <w:szCs w:val="22"/>
        </w:rPr>
      </w:pPr>
    </w:p>
    <w:p w:rsidR="00884D44" w:rsidRPr="00374C19" w:rsidRDefault="00884D44" w:rsidP="00884D44">
      <w:pPr>
        <w:pStyle w:val="ListParagraph"/>
        <w:numPr>
          <w:ilvl w:val="0"/>
          <w:numId w:val="11"/>
        </w:numPr>
        <w:rPr>
          <w:sz w:val="22"/>
          <w:szCs w:val="22"/>
        </w:rPr>
      </w:pPr>
      <w:r w:rsidRPr="00374C19">
        <w:rPr>
          <w:sz w:val="22"/>
          <w:szCs w:val="22"/>
        </w:rPr>
        <w:t xml:space="preserve">Review the application to identify whether the application may require further explanatory information from the applicant to justify the proposed price. </w:t>
      </w:r>
    </w:p>
    <w:p w:rsidR="00884D44" w:rsidRPr="00374C19" w:rsidRDefault="00884D44" w:rsidP="00884D44">
      <w:pPr>
        <w:rPr>
          <w:sz w:val="22"/>
          <w:szCs w:val="22"/>
        </w:rPr>
      </w:pPr>
    </w:p>
    <w:p w:rsidR="00884D44" w:rsidRDefault="00884D44" w:rsidP="00884D44">
      <w:pPr>
        <w:rPr>
          <w:sz w:val="22"/>
          <w:szCs w:val="22"/>
        </w:rPr>
      </w:pPr>
      <w:r w:rsidRPr="00374C19">
        <w:rPr>
          <w:sz w:val="22"/>
          <w:szCs w:val="22"/>
        </w:rPr>
        <w:t>Once these steps have been completed, assessors are to prepare</w:t>
      </w:r>
      <w:r w:rsidR="004D0771">
        <w:rPr>
          <w:sz w:val="22"/>
          <w:szCs w:val="22"/>
        </w:rPr>
        <w:t xml:space="preserve"> </w:t>
      </w:r>
      <w:r w:rsidR="004D0771" w:rsidRPr="00374C19">
        <w:rPr>
          <w:sz w:val="22"/>
          <w:szCs w:val="22"/>
        </w:rPr>
        <w:t>instruction</w:t>
      </w:r>
      <w:r w:rsidR="004D0771">
        <w:rPr>
          <w:sz w:val="22"/>
          <w:szCs w:val="22"/>
        </w:rPr>
        <w:t>s to the applicant in a letter</w:t>
      </w:r>
      <w:r w:rsidRPr="00374C19">
        <w:rPr>
          <w:sz w:val="22"/>
          <w:szCs w:val="22"/>
        </w:rPr>
        <w:t xml:space="preserve"> f</w:t>
      </w:r>
      <w:r w:rsidR="004D0771">
        <w:rPr>
          <w:sz w:val="22"/>
          <w:szCs w:val="22"/>
        </w:rPr>
        <w:t xml:space="preserve">or the Commissioner’s signature. </w:t>
      </w:r>
      <w:r>
        <w:rPr>
          <w:rFonts w:cs="Arial"/>
          <w:color w:val="000000"/>
          <w:sz w:val="22"/>
          <w:szCs w:val="22"/>
        </w:rPr>
        <w:t xml:space="preserve">This request should be sent to the applicant </w:t>
      </w:r>
      <w:r w:rsidR="000F3590">
        <w:rPr>
          <w:rFonts w:cs="Arial"/>
          <w:color w:val="000000"/>
          <w:sz w:val="22"/>
          <w:szCs w:val="22"/>
        </w:rPr>
        <w:t xml:space="preserve">at the earliest opportunity and </w:t>
      </w:r>
      <w:r w:rsidR="005C5E0A">
        <w:rPr>
          <w:rFonts w:cs="Arial"/>
          <w:color w:val="000000"/>
          <w:sz w:val="22"/>
          <w:szCs w:val="22"/>
        </w:rPr>
        <w:t>certainly</w:t>
      </w:r>
      <w:r w:rsidR="000F3590">
        <w:rPr>
          <w:rFonts w:cs="Arial"/>
          <w:color w:val="000000"/>
          <w:sz w:val="22"/>
          <w:szCs w:val="22"/>
        </w:rPr>
        <w:t xml:space="preserve"> </w:t>
      </w:r>
      <w:r>
        <w:rPr>
          <w:rFonts w:cs="Arial"/>
          <w:color w:val="000000"/>
          <w:sz w:val="22"/>
          <w:szCs w:val="22"/>
        </w:rPr>
        <w:t>within one week of receipt of the application.</w:t>
      </w:r>
    </w:p>
    <w:p w:rsidR="00884D44" w:rsidRDefault="00884D44" w:rsidP="00884D44">
      <w:pPr>
        <w:rPr>
          <w:sz w:val="22"/>
          <w:szCs w:val="22"/>
        </w:rPr>
      </w:pPr>
    </w:p>
    <w:p w:rsidR="00884D44" w:rsidRDefault="00884D44" w:rsidP="00884D44">
      <w:pPr>
        <w:rPr>
          <w:sz w:val="22"/>
          <w:szCs w:val="22"/>
        </w:rPr>
      </w:pPr>
      <w:r w:rsidRPr="00374C19">
        <w:rPr>
          <w:sz w:val="22"/>
          <w:szCs w:val="22"/>
        </w:rPr>
        <w:t xml:space="preserve">The letter should </w:t>
      </w:r>
      <w:r w:rsidR="00EB0512">
        <w:rPr>
          <w:sz w:val="22"/>
          <w:szCs w:val="22"/>
        </w:rPr>
        <w:t xml:space="preserve">state </w:t>
      </w:r>
      <w:r w:rsidRPr="00374C19">
        <w:rPr>
          <w:sz w:val="22"/>
          <w:szCs w:val="22"/>
        </w:rPr>
        <w:t>that a preliminary assessment has been undertaken and</w:t>
      </w:r>
      <w:r w:rsidR="00EB0512">
        <w:rPr>
          <w:sz w:val="22"/>
          <w:szCs w:val="22"/>
        </w:rPr>
        <w:t xml:space="preserve"> notify the applicant that the application lacked sufficient information to assess the required factors for consideration and/or to support the proposed price. The letter must</w:t>
      </w:r>
      <w:r w:rsidRPr="00374C19">
        <w:rPr>
          <w:sz w:val="22"/>
          <w:szCs w:val="22"/>
        </w:rPr>
        <w:t xml:space="preserve"> clearly identify the</w:t>
      </w:r>
      <w:r w:rsidR="00EB0512">
        <w:rPr>
          <w:sz w:val="22"/>
          <w:szCs w:val="22"/>
        </w:rPr>
        <w:t xml:space="preserve"> authority under which the information is being requested, a detailed description of the</w:t>
      </w:r>
      <w:r w:rsidRPr="00374C19">
        <w:rPr>
          <w:sz w:val="22"/>
          <w:szCs w:val="22"/>
        </w:rPr>
        <w:t xml:space="preserve"> further information requirements and a specified timeframe of up to 28 days for provision of that information</w:t>
      </w:r>
      <w:r w:rsidR="000F3590">
        <w:rPr>
          <w:sz w:val="22"/>
          <w:szCs w:val="22"/>
        </w:rPr>
        <w:t xml:space="preserve"> or as otherwise determined by the Commissioner</w:t>
      </w:r>
      <w:r w:rsidRPr="00374C19">
        <w:rPr>
          <w:sz w:val="22"/>
          <w:szCs w:val="22"/>
        </w:rPr>
        <w:t>.</w:t>
      </w:r>
      <w:r w:rsidR="00223E2A">
        <w:rPr>
          <w:sz w:val="22"/>
          <w:szCs w:val="22"/>
        </w:rPr>
        <w:t xml:space="preserve"> The letter must also state that the application is taken to be withdrawn if the further information required is not provided within the specified timeframe. </w:t>
      </w:r>
      <w:r w:rsidR="005C5E0A">
        <w:rPr>
          <w:sz w:val="22"/>
          <w:szCs w:val="22"/>
        </w:rPr>
        <w:t>A</w:t>
      </w:r>
      <w:r w:rsidRPr="00374C19">
        <w:rPr>
          <w:sz w:val="22"/>
          <w:szCs w:val="22"/>
        </w:rPr>
        <w:t xml:space="preserve">ssessors </w:t>
      </w:r>
      <w:r w:rsidR="005C5E0A">
        <w:rPr>
          <w:sz w:val="22"/>
          <w:szCs w:val="22"/>
        </w:rPr>
        <w:t>should</w:t>
      </w:r>
      <w:r w:rsidRPr="00374C19">
        <w:rPr>
          <w:sz w:val="22"/>
          <w:szCs w:val="22"/>
        </w:rPr>
        <w:t xml:space="preserve"> contact the applicant directly to identify an appropriate timeframe.</w:t>
      </w:r>
      <w:r>
        <w:rPr>
          <w:sz w:val="22"/>
          <w:szCs w:val="22"/>
        </w:rPr>
        <w:t xml:space="preserve"> </w:t>
      </w:r>
      <w:r w:rsidR="005C5E0A">
        <w:rPr>
          <w:sz w:val="22"/>
          <w:szCs w:val="22"/>
        </w:rPr>
        <w:t xml:space="preserve">The objective is to cause the least delay in the processing of applications so that consultation with the provider in nominating the timeframe for the provision of further information is essential. </w:t>
      </w:r>
      <w:r>
        <w:rPr>
          <w:sz w:val="22"/>
          <w:szCs w:val="22"/>
        </w:rPr>
        <w:t>The letter should include a contact name and number for the assessor if applicants wish to seek guidance or clarification.</w:t>
      </w:r>
    </w:p>
    <w:p w:rsidR="00DC7691" w:rsidRDefault="00DC7691" w:rsidP="00884D44">
      <w:pPr>
        <w:rPr>
          <w:sz w:val="22"/>
          <w:szCs w:val="22"/>
        </w:rPr>
      </w:pPr>
    </w:p>
    <w:p w:rsidR="00DC7691" w:rsidRDefault="00DC7691" w:rsidP="00884D44">
      <w:pPr>
        <w:rPr>
          <w:sz w:val="22"/>
          <w:szCs w:val="22"/>
        </w:rPr>
      </w:pPr>
      <w:r>
        <w:rPr>
          <w:sz w:val="22"/>
          <w:szCs w:val="22"/>
        </w:rPr>
        <w:t>The assessor is to ensure that the 60 day assessment period is suspended on the day that further information is sought.</w:t>
      </w:r>
    </w:p>
    <w:p w:rsidR="00884D44" w:rsidRDefault="00884D44" w:rsidP="00884D44">
      <w:pPr>
        <w:rPr>
          <w:sz w:val="22"/>
          <w:szCs w:val="22"/>
        </w:rPr>
      </w:pPr>
    </w:p>
    <w:p w:rsidR="00884D44" w:rsidRPr="00374C19" w:rsidRDefault="000F3590" w:rsidP="00562E29">
      <w:pPr>
        <w:pStyle w:val="Heading4"/>
      </w:pPr>
      <w:bookmarkStart w:id="18" w:name="_Toc377471348"/>
      <w:r>
        <w:t>Step 6</w:t>
      </w:r>
      <w:r w:rsidR="00884D44">
        <w:t>: Submission of further information</w:t>
      </w:r>
      <w:bookmarkEnd w:id="18"/>
    </w:p>
    <w:p w:rsidR="00884D44" w:rsidRDefault="00884D44" w:rsidP="00884D44"/>
    <w:p w:rsidR="00884D44" w:rsidRDefault="00884D44" w:rsidP="00884D44">
      <w:pPr>
        <w:rPr>
          <w:sz w:val="22"/>
          <w:szCs w:val="22"/>
        </w:rPr>
      </w:pPr>
      <w:r w:rsidRPr="00790697">
        <w:rPr>
          <w:sz w:val="22"/>
          <w:szCs w:val="22"/>
        </w:rPr>
        <w:t xml:space="preserve">This step </w:t>
      </w:r>
      <w:r>
        <w:rPr>
          <w:sz w:val="22"/>
          <w:szCs w:val="22"/>
        </w:rPr>
        <w:t>provides for applicants to submit further information referred to in 2.6.</w:t>
      </w:r>
    </w:p>
    <w:p w:rsidR="00884D44" w:rsidRDefault="00884D44" w:rsidP="00884D44">
      <w:pPr>
        <w:rPr>
          <w:sz w:val="22"/>
          <w:szCs w:val="22"/>
        </w:rPr>
      </w:pPr>
    </w:p>
    <w:p w:rsidR="00884D44" w:rsidRDefault="00884D44" w:rsidP="00884D44">
      <w:pPr>
        <w:rPr>
          <w:sz w:val="22"/>
          <w:szCs w:val="22"/>
        </w:rPr>
      </w:pPr>
      <w:r>
        <w:rPr>
          <w:sz w:val="22"/>
          <w:szCs w:val="22"/>
        </w:rPr>
        <w:t xml:space="preserve">Where the required information has been provided, the assessor is to record this </w:t>
      </w:r>
      <w:r w:rsidR="008E6C4D">
        <w:rPr>
          <w:sz w:val="22"/>
          <w:szCs w:val="22"/>
        </w:rPr>
        <w:t>and continue to Step 7</w:t>
      </w:r>
      <w:r>
        <w:rPr>
          <w:sz w:val="22"/>
          <w:szCs w:val="22"/>
        </w:rPr>
        <w:t xml:space="preserve">. </w:t>
      </w:r>
      <w:r w:rsidR="00DC7691">
        <w:rPr>
          <w:sz w:val="22"/>
          <w:szCs w:val="22"/>
        </w:rPr>
        <w:t>The assessor is to ensure that the 60 day assessment period resumes on receipt of further information.</w:t>
      </w:r>
    </w:p>
    <w:p w:rsidR="00884D44" w:rsidRDefault="00884D44" w:rsidP="00884D44">
      <w:pPr>
        <w:rPr>
          <w:sz w:val="22"/>
          <w:szCs w:val="22"/>
        </w:rPr>
      </w:pPr>
    </w:p>
    <w:p w:rsidR="00232773" w:rsidRDefault="00884D44" w:rsidP="00884D44">
      <w:pPr>
        <w:rPr>
          <w:sz w:val="22"/>
          <w:szCs w:val="22"/>
        </w:rPr>
      </w:pPr>
      <w:r w:rsidRPr="0068137A">
        <w:rPr>
          <w:sz w:val="22"/>
          <w:szCs w:val="22"/>
        </w:rPr>
        <w:t xml:space="preserve">Where </w:t>
      </w:r>
      <w:r w:rsidR="00232773">
        <w:rPr>
          <w:sz w:val="22"/>
          <w:szCs w:val="22"/>
        </w:rPr>
        <w:t xml:space="preserve">the </w:t>
      </w:r>
      <w:r w:rsidR="000F3590">
        <w:rPr>
          <w:sz w:val="22"/>
          <w:szCs w:val="22"/>
        </w:rPr>
        <w:t xml:space="preserve">further information </w:t>
      </w:r>
      <w:r w:rsidR="00232773">
        <w:rPr>
          <w:sz w:val="22"/>
          <w:szCs w:val="22"/>
        </w:rPr>
        <w:t>specified has not been provided within the timeframe identified in Step 5</w:t>
      </w:r>
      <w:r w:rsidRPr="0068137A">
        <w:rPr>
          <w:sz w:val="22"/>
          <w:szCs w:val="22"/>
        </w:rPr>
        <w:t xml:space="preserve">, the </w:t>
      </w:r>
      <w:r w:rsidR="000F3590">
        <w:rPr>
          <w:sz w:val="22"/>
          <w:szCs w:val="22"/>
        </w:rPr>
        <w:t xml:space="preserve">application </w:t>
      </w:r>
      <w:r w:rsidR="00232773">
        <w:rPr>
          <w:sz w:val="22"/>
          <w:szCs w:val="22"/>
        </w:rPr>
        <w:t xml:space="preserve">is taken to </w:t>
      </w:r>
      <w:r w:rsidR="000F3590">
        <w:rPr>
          <w:sz w:val="22"/>
          <w:szCs w:val="22"/>
        </w:rPr>
        <w:t>be</w:t>
      </w:r>
      <w:r>
        <w:rPr>
          <w:sz w:val="22"/>
          <w:szCs w:val="22"/>
        </w:rPr>
        <w:t xml:space="preserve"> </w:t>
      </w:r>
      <w:r w:rsidR="00232773">
        <w:rPr>
          <w:sz w:val="22"/>
          <w:szCs w:val="22"/>
        </w:rPr>
        <w:t>withdrawn</w:t>
      </w:r>
      <w:r w:rsidR="00CA785A">
        <w:rPr>
          <w:sz w:val="22"/>
          <w:szCs w:val="22"/>
        </w:rPr>
        <w:t xml:space="preserve"> under s 52G-4(3) of the </w:t>
      </w:r>
      <w:r w:rsidR="00CA785A">
        <w:rPr>
          <w:i/>
          <w:sz w:val="22"/>
          <w:szCs w:val="22"/>
        </w:rPr>
        <w:t>Aged Care Act 1997</w:t>
      </w:r>
      <w:r w:rsidR="00232773">
        <w:rPr>
          <w:sz w:val="22"/>
          <w:szCs w:val="22"/>
        </w:rPr>
        <w:t>. The assessor is to draft a letter to this effect for the Commissioner’s signature.</w:t>
      </w:r>
    </w:p>
    <w:p w:rsidR="00232773" w:rsidRDefault="00232773" w:rsidP="00884D44">
      <w:pPr>
        <w:rPr>
          <w:sz w:val="22"/>
          <w:szCs w:val="22"/>
        </w:rPr>
      </w:pPr>
    </w:p>
    <w:p w:rsidR="00884D44" w:rsidRDefault="00884D44" w:rsidP="00562E29">
      <w:pPr>
        <w:pStyle w:val="Heading3"/>
      </w:pPr>
      <w:bookmarkStart w:id="19" w:name="_Toc377471349"/>
      <w:bookmarkStart w:id="20" w:name="_Toc380153544"/>
      <w:r>
        <w:t>Benchmark comparison</w:t>
      </w:r>
      <w:bookmarkEnd w:id="19"/>
      <w:bookmarkEnd w:id="20"/>
    </w:p>
    <w:p w:rsidR="00884D44" w:rsidRDefault="00884D44" w:rsidP="00884D44"/>
    <w:p w:rsidR="00884D44" w:rsidRDefault="00884D44" w:rsidP="00884D44">
      <w:pPr>
        <w:rPr>
          <w:sz w:val="22"/>
          <w:szCs w:val="22"/>
        </w:rPr>
      </w:pPr>
      <w:r w:rsidRPr="0031616B">
        <w:rPr>
          <w:sz w:val="22"/>
          <w:szCs w:val="22"/>
        </w:rPr>
        <w:t xml:space="preserve">Benchmark comparisons are to be undertaken by assessors for indicative purposes only, and are not to be used </w:t>
      </w:r>
      <w:r>
        <w:rPr>
          <w:sz w:val="22"/>
          <w:szCs w:val="22"/>
        </w:rPr>
        <w:t xml:space="preserve">solely </w:t>
      </w:r>
      <w:r w:rsidRPr="0031616B">
        <w:rPr>
          <w:sz w:val="22"/>
          <w:szCs w:val="22"/>
        </w:rPr>
        <w:t xml:space="preserve">as the basis for </w:t>
      </w:r>
      <w:r>
        <w:rPr>
          <w:sz w:val="22"/>
          <w:szCs w:val="22"/>
        </w:rPr>
        <w:t xml:space="preserve">recommending a refusal to approve </w:t>
      </w:r>
      <w:r w:rsidRPr="0031616B">
        <w:rPr>
          <w:sz w:val="22"/>
          <w:szCs w:val="22"/>
        </w:rPr>
        <w:t>an a</w:t>
      </w:r>
      <w:r>
        <w:rPr>
          <w:sz w:val="22"/>
          <w:szCs w:val="22"/>
        </w:rPr>
        <w:t xml:space="preserve">pplication for a proposed price. </w:t>
      </w:r>
    </w:p>
    <w:p w:rsidR="00BF1F70" w:rsidRDefault="00BF1F70" w:rsidP="00884D44">
      <w:pPr>
        <w:rPr>
          <w:sz w:val="22"/>
          <w:szCs w:val="22"/>
        </w:rPr>
      </w:pPr>
    </w:p>
    <w:p w:rsidR="00BF1F70" w:rsidRDefault="00BF1F70" w:rsidP="00884D44">
      <w:pPr>
        <w:rPr>
          <w:sz w:val="22"/>
          <w:szCs w:val="22"/>
        </w:rPr>
      </w:pPr>
      <w:r>
        <w:rPr>
          <w:sz w:val="22"/>
          <w:szCs w:val="22"/>
        </w:rPr>
        <w:t>Further development of benchmarks will be undertaken iteratively, informed by industry practice, by insight into pricing determinants for providers and by data further illustrating the relationship between elements such as proposed prices and median house price.</w:t>
      </w:r>
    </w:p>
    <w:p w:rsidR="00884D44" w:rsidRDefault="00884D44" w:rsidP="00884D44">
      <w:pPr>
        <w:rPr>
          <w:sz w:val="22"/>
          <w:szCs w:val="22"/>
        </w:rPr>
      </w:pPr>
    </w:p>
    <w:p w:rsidR="00453216" w:rsidRDefault="00453216" w:rsidP="00453216">
      <w:pPr>
        <w:rPr>
          <w:sz w:val="22"/>
          <w:szCs w:val="22"/>
        </w:rPr>
      </w:pPr>
      <w:r>
        <w:rPr>
          <w:sz w:val="22"/>
          <w:szCs w:val="22"/>
        </w:rPr>
        <w:t>Where a proposed price is comparable to benchmarks at Steps 7 and 8, this fact is to be used to substantiate a proposed price, subject to assessment of other aspects of the proposed price, such as sufficiency of evidence of cost components, and the assessment of value considerations at Steps 13 - 14. Conversely, while a proposed price may materially exceed the benchmark, this is not sufficient of itself to justify a recommendation to refuse approval, because the proposed price may be justified on other considerations, or there may be mitigating circumstances, either presented in the application or evident through reviewing benchmark data.</w:t>
      </w:r>
    </w:p>
    <w:p w:rsidR="00453216" w:rsidRDefault="00453216" w:rsidP="00453216">
      <w:pPr>
        <w:rPr>
          <w:sz w:val="22"/>
          <w:szCs w:val="22"/>
        </w:rPr>
      </w:pPr>
    </w:p>
    <w:p w:rsidR="00453216" w:rsidRDefault="00453216" w:rsidP="00453216">
      <w:pPr>
        <w:rPr>
          <w:sz w:val="22"/>
          <w:szCs w:val="22"/>
        </w:rPr>
      </w:pPr>
      <w:r>
        <w:rPr>
          <w:sz w:val="22"/>
          <w:szCs w:val="22"/>
        </w:rPr>
        <w:t xml:space="preserve">As the assessment proceeds, </w:t>
      </w:r>
      <w:r w:rsidRPr="00374C19">
        <w:rPr>
          <w:sz w:val="22"/>
          <w:szCs w:val="22"/>
        </w:rPr>
        <w:t xml:space="preserve">consideration is </w:t>
      </w:r>
      <w:r>
        <w:rPr>
          <w:sz w:val="22"/>
          <w:szCs w:val="22"/>
        </w:rPr>
        <w:t xml:space="preserve">also to </w:t>
      </w:r>
      <w:r w:rsidRPr="00374C19">
        <w:rPr>
          <w:sz w:val="22"/>
          <w:szCs w:val="22"/>
        </w:rPr>
        <w:t xml:space="preserve">be given </w:t>
      </w:r>
      <w:r>
        <w:rPr>
          <w:sz w:val="22"/>
          <w:szCs w:val="22"/>
        </w:rPr>
        <w:t xml:space="preserve">by assessors </w:t>
      </w:r>
      <w:r w:rsidRPr="00374C19">
        <w:rPr>
          <w:sz w:val="22"/>
          <w:szCs w:val="22"/>
        </w:rPr>
        <w:t xml:space="preserve">to whether business and other factors including cost of supply and quality factors sufficiently explain the proposed price. </w:t>
      </w:r>
    </w:p>
    <w:p w:rsidR="00EF6EDB" w:rsidRDefault="00EF6EDB" w:rsidP="00884D44">
      <w:pPr>
        <w:rPr>
          <w:sz w:val="22"/>
          <w:szCs w:val="22"/>
        </w:rPr>
      </w:pPr>
    </w:p>
    <w:p w:rsidR="00C07916" w:rsidRDefault="00884D44" w:rsidP="00884D44">
      <w:pPr>
        <w:rPr>
          <w:sz w:val="22"/>
          <w:szCs w:val="22"/>
        </w:rPr>
      </w:pPr>
      <w:r>
        <w:rPr>
          <w:sz w:val="22"/>
          <w:szCs w:val="22"/>
        </w:rPr>
        <w:t>Consideration of bench</w:t>
      </w:r>
      <w:r w:rsidR="000F3590">
        <w:rPr>
          <w:sz w:val="22"/>
          <w:szCs w:val="22"/>
        </w:rPr>
        <w:t xml:space="preserve">marks is </w:t>
      </w:r>
      <w:r w:rsidR="00232773">
        <w:rPr>
          <w:sz w:val="22"/>
          <w:szCs w:val="22"/>
        </w:rPr>
        <w:t xml:space="preserve">also </w:t>
      </w:r>
      <w:r w:rsidR="00CC50A8">
        <w:rPr>
          <w:sz w:val="22"/>
          <w:szCs w:val="22"/>
        </w:rPr>
        <w:t>of relevance at Step 13</w:t>
      </w:r>
      <w:r>
        <w:rPr>
          <w:sz w:val="22"/>
          <w:szCs w:val="22"/>
        </w:rPr>
        <w:t xml:space="preserve"> – Assessment of </w:t>
      </w:r>
      <w:r w:rsidR="00C07916">
        <w:rPr>
          <w:sz w:val="22"/>
          <w:szCs w:val="22"/>
        </w:rPr>
        <w:t>information to justify a</w:t>
      </w:r>
      <w:r w:rsidR="00961F0C">
        <w:rPr>
          <w:sz w:val="22"/>
          <w:szCs w:val="22"/>
        </w:rPr>
        <w:t xml:space="preserve"> proposed price.</w:t>
      </w:r>
    </w:p>
    <w:p w:rsidR="00884D44" w:rsidRDefault="00884D44" w:rsidP="00884D44">
      <w:pPr>
        <w:rPr>
          <w:sz w:val="22"/>
          <w:szCs w:val="22"/>
        </w:rPr>
      </w:pPr>
    </w:p>
    <w:p w:rsidR="00884D44" w:rsidRPr="005A2503" w:rsidRDefault="00C07916" w:rsidP="00562E29">
      <w:pPr>
        <w:pStyle w:val="Heading3"/>
      </w:pPr>
      <w:bookmarkStart w:id="21" w:name="_Toc380153545"/>
      <w:r>
        <w:t>Median house price and historical bond level benchmarks</w:t>
      </w:r>
      <w:bookmarkEnd w:id="21"/>
    </w:p>
    <w:p w:rsidR="00884D44" w:rsidRPr="00A17193" w:rsidRDefault="00884D44" w:rsidP="00884D44"/>
    <w:p w:rsidR="00884D44" w:rsidRDefault="008E1A60" w:rsidP="00562E29">
      <w:pPr>
        <w:pStyle w:val="Heading4"/>
      </w:pPr>
      <w:bookmarkStart w:id="22" w:name="_Toc375924974"/>
      <w:bookmarkStart w:id="23" w:name="_Toc377471350"/>
      <w:r>
        <w:t>Step 7</w:t>
      </w:r>
      <w:r w:rsidR="00884D44">
        <w:t>: Comparison of proposed price to median house price</w:t>
      </w:r>
      <w:bookmarkEnd w:id="22"/>
      <w:bookmarkEnd w:id="23"/>
      <w:r w:rsidR="00884D44">
        <w:t xml:space="preserve"> </w:t>
      </w:r>
    </w:p>
    <w:p w:rsidR="00884D44" w:rsidRDefault="00884D44" w:rsidP="00884D44"/>
    <w:p w:rsidR="00AA6E34" w:rsidRDefault="00AA6E34" w:rsidP="00562E29">
      <w:pPr>
        <w:pStyle w:val="Heading5"/>
      </w:pPr>
      <w:r>
        <w:t>7.1 Median house price</w:t>
      </w:r>
    </w:p>
    <w:p w:rsidR="00AA6E34" w:rsidRPr="00072710" w:rsidRDefault="00AA6E34" w:rsidP="00884D44">
      <w:pPr>
        <w:rPr>
          <w:b/>
          <w:sz w:val="22"/>
          <w:szCs w:val="22"/>
        </w:rPr>
      </w:pPr>
    </w:p>
    <w:p w:rsidR="008E1A60" w:rsidRDefault="008E1A60" w:rsidP="00884D44">
      <w:pPr>
        <w:rPr>
          <w:sz w:val="22"/>
          <w:szCs w:val="22"/>
        </w:rPr>
      </w:pPr>
      <w:r>
        <w:rPr>
          <w:sz w:val="22"/>
          <w:szCs w:val="22"/>
        </w:rPr>
        <w:t>Assessors are to make reference to the media</w:t>
      </w:r>
      <w:r w:rsidR="00232773">
        <w:rPr>
          <w:sz w:val="22"/>
          <w:szCs w:val="22"/>
        </w:rPr>
        <w:t>n</w:t>
      </w:r>
      <w:r>
        <w:rPr>
          <w:sz w:val="22"/>
          <w:szCs w:val="22"/>
        </w:rPr>
        <w:t xml:space="preserve"> house price by suburb </w:t>
      </w:r>
      <w:r w:rsidR="00AA6E34">
        <w:rPr>
          <w:sz w:val="22"/>
          <w:szCs w:val="22"/>
        </w:rPr>
        <w:t xml:space="preserve">obtained from RP data and available on the ACPC database </w:t>
      </w:r>
      <w:r>
        <w:rPr>
          <w:sz w:val="22"/>
          <w:szCs w:val="22"/>
        </w:rPr>
        <w:t>as an indicator.</w:t>
      </w:r>
    </w:p>
    <w:p w:rsidR="00AA6E34" w:rsidRDefault="00AA6E34" w:rsidP="00884D44">
      <w:pPr>
        <w:rPr>
          <w:sz w:val="22"/>
          <w:szCs w:val="22"/>
        </w:rPr>
      </w:pPr>
    </w:p>
    <w:p w:rsidR="00AA6E34" w:rsidRPr="00072710" w:rsidRDefault="00AA6E34" w:rsidP="00562E29">
      <w:pPr>
        <w:pStyle w:val="Heading5"/>
      </w:pPr>
      <w:r>
        <w:t>7.2 Bond levels by locality</w:t>
      </w:r>
    </w:p>
    <w:p w:rsidR="008E1A60" w:rsidRDefault="008E1A60" w:rsidP="00884D44">
      <w:pPr>
        <w:rPr>
          <w:sz w:val="22"/>
          <w:szCs w:val="22"/>
        </w:rPr>
      </w:pPr>
    </w:p>
    <w:p w:rsidR="00884D44" w:rsidRDefault="00884D44" w:rsidP="00884D44">
      <w:pPr>
        <w:rPr>
          <w:sz w:val="22"/>
          <w:szCs w:val="22"/>
        </w:rPr>
      </w:pPr>
      <w:r w:rsidRPr="00374C19">
        <w:rPr>
          <w:sz w:val="22"/>
          <w:szCs w:val="22"/>
        </w:rPr>
        <w:t xml:space="preserve">Assessors are </w:t>
      </w:r>
      <w:r w:rsidR="008E1A60">
        <w:rPr>
          <w:sz w:val="22"/>
          <w:szCs w:val="22"/>
        </w:rPr>
        <w:t xml:space="preserve">also </w:t>
      </w:r>
      <w:r w:rsidRPr="00374C19">
        <w:rPr>
          <w:sz w:val="22"/>
          <w:szCs w:val="22"/>
        </w:rPr>
        <w:t xml:space="preserve">to compare the proposed price to </w:t>
      </w:r>
      <w:r w:rsidR="00D44CD3">
        <w:rPr>
          <w:sz w:val="22"/>
          <w:szCs w:val="22"/>
        </w:rPr>
        <w:t xml:space="preserve">bonds in comparable facilities in the </w:t>
      </w:r>
      <w:r w:rsidR="00AA6E34">
        <w:rPr>
          <w:sz w:val="22"/>
          <w:szCs w:val="22"/>
        </w:rPr>
        <w:t xml:space="preserve">suburb. </w:t>
      </w:r>
      <w:r w:rsidR="00DC7153">
        <w:rPr>
          <w:sz w:val="22"/>
          <w:szCs w:val="22"/>
        </w:rPr>
        <w:t>B</w:t>
      </w:r>
      <w:r w:rsidR="00D44CD3">
        <w:rPr>
          <w:sz w:val="22"/>
          <w:szCs w:val="22"/>
        </w:rPr>
        <w:t>ond price information is available on the ACPC database.</w:t>
      </w:r>
      <w:r w:rsidR="00DC7153">
        <w:rPr>
          <w:sz w:val="22"/>
          <w:szCs w:val="22"/>
        </w:rPr>
        <w:t xml:space="preserve"> This will give an historical overview that may be of some utility but will need to be considered in light of the applicant’s business case/model.</w:t>
      </w:r>
    </w:p>
    <w:p w:rsidR="00884D44" w:rsidRDefault="00884D44" w:rsidP="00884D44">
      <w:pPr>
        <w:rPr>
          <w:sz w:val="22"/>
          <w:szCs w:val="22"/>
        </w:rPr>
      </w:pPr>
    </w:p>
    <w:p w:rsidR="00AA6E34" w:rsidRDefault="00884D44" w:rsidP="00884D44">
      <w:pPr>
        <w:rPr>
          <w:sz w:val="22"/>
          <w:szCs w:val="22"/>
        </w:rPr>
      </w:pPr>
      <w:r>
        <w:rPr>
          <w:sz w:val="22"/>
          <w:szCs w:val="22"/>
        </w:rPr>
        <w:t>The utility of th</w:t>
      </w:r>
      <w:r w:rsidR="00AA6E34">
        <w:rPr>
          <w:sz w:val="22"/>
          <w:szCs w:val="22"/>
        </w:rPr>
        <w:t>e</w:t>
      </w:r>
      <w:r>
        <w:rPr>
          <w:sz w:val="22"/>
          <w:szCs w:val="22"/>
        </w:rPr>
        <w:t>s</w:t>
      </w:r>
      <w:r w:rsidR="00AA6E34">
        <w:rPr>
          <w:sz w:val="22"/>
          <w:szCs w:val="22"/>
        </w:rPr>
        <w:t>e</w:t>
      </w:r>
      <w:r>
        <w:rPr>
          <w:sz w:val="22"/>
          <w:szCs w:val="22"/>
        </w:rPr>
        <w:t xml:space="preserve"> benchmark</w:t>
      </w:r>
      <w:r w:rsidR="00AA6E34">
        <w:rPr>
          <w:sz w:val="22"/>
          <w:szCs w:val="22"/>
        </w:rPr>
        <w:t>s</w:t>
      </w:r>
      <w:r>
        <w:rPr>
          <w:sz w:val="22"/>
          <w:szCs w:val="22"/>
        </w:rPr>
        <w:t xml:space="preserve"> is in </w:t>
      </w:r>
      <w:r w:rsidR="00AA6E34">
        <w:rPr>
          <w:sz w:val="22"/>
          <w:szCs w:val="22"/>
        </w:rPr>
        <w:t>the</w:t>
      </w:r>
      <w:r>
        <w:rPr>
          <w:sz w:val="22"/>
          <w:szCs w:val="22"/>
        </w:rPr>
        <w:t xml:space="preserve"> comparison that can be made by the assessor betwe</w:t>
      </w:r>
      <w:r w:rsidR="00453216">
        <w:rPr>
          <w:sz w:val="22"/>
          <w:szCs w:val="22"/>
        </w:rPr>
        <w:t xml:space="preserve">en the proposed price, </w:t>
      </w:r>
      <w:r>
        <w:rPr>
          <w:sz w:val="22"/>
          <w:szCs w:val="22"/>
        </w:rPr>
        <w:t xml:space="preserve">the </w:t>
      </w:r>
      <w:r w:rsidR="00453216">
        <w:rPr>
          <w:sz w:val="22"/>
          <w:szCs w:val="22"/>
        </w:rPr>
        <w:t>median house price and bond levels in the geographical area</w:t>
      </w:r>
      <w:r>
        <w:rPr>
          <w:sz w:val="22"/>
          <w:szCs w:val="22"/>
        </w:rPr>
        <w:t xml:space="preserve"> to </w:t>
      </w:r>
      <w:r>
        <w:rPr>
          <w:sz w:val="22"/>
          <w:szCs w:val="22"/>
        </w:rPr>
        <w:lastRenderedPageBreak/>
        <w:t xml:space="preserve">determine if the proposed price reflects the value that people </w:t>
      </w:r>
      <w:r w:rsidR="008E1A60">
        <w:rPr>
          <w:sz w:val="22"/>
          <w:szCs w:val="22"/>
        </w:rPr>
        <w:t>may be</w:t>
      </w:r>
      <w:r>
        <w:rPr>
          <w:sz w:val="22"/>
          <w:szCs w:val="22"/>
        </w:rPr>
        <w:t xml:space="preserve"> willing to pay for comparable accommodation in the same locality.</w:t>
      </w:r>
      <w:r w:rsidR="008E1A60">
        <w:rPr>
          <w:sz w:val="22"/>
          <w:szCs w:val="22"/>
        </w:rPr>
        <w:t xml:space="preserve"> </w:t>
      </w:r>
    </w:p>
    <w:p w:rsidR="00AA6E34" w:rsidRDefault="00AA6E34" w:rsidP="00884D44">
      <w:pPr>
        <w:rPr>
          <w:sz w:val="22"/>
          <w:szCs w:val="22"/>
        </w:rPr>
      </w:pPr>
    </w:p>
    <w:p w:rsidR="00884D44" w:rsidRDefault="00AA6E34" w:rsidP="00884D44">
      <w:pPr>
        <w:rPr>
          <w:sz w:val="22"/>
          <w:szCs w:val="22"/>
        </w:rPr>
      </w:pPr>
      <w:r>
        <w:rPr>
          <w:sz w:val="22"/>
          <w:szCs w:val="22"/>
        </w:rPr>
        <w:t>In making such comparisons a</w:t>
      </w:r>
      <w:r w:rsidR="008E1A60">
        <w:rPr>
          <w:sz w:val="22"/>
          <w:szCs w:val="22"/>
        </w:rPr>
        <w:t>ssessors should observe that the proposed price sought is a maximum only.</w:t>
      </w:r>
    </w:p>
    <w:p w:rsidR="00FF7142" w:rsidRDefault="00FF7142" w:rsidP="00884D44">
      <w:pPr>
        <w:rPr>
          <w:sz w:val="22"/>
          <w:szCs w:val="22"/>
        </w:rPr>
      </w:pPr>
    </w:p>
    <w:p w:rsidR="00FF7142" w:rsidRDefault="008E1A60" w:rsidP="00884D44">
      <w:pPr>
        <w:rPr>
          <w:sz w:val="22"/>
          <w:szCs w:val="22"/>
        </w:rPr>
      </w:pPr>
      <w:r>
        <w:rPr>
          <w:sz w:val="22"/>
          <w:szCs w:val="22"/>
        </w:rPr>
        <w:t>While the comparisons generally will have significant utility, there may be occasions on which the assessor will give such comparisons less weight; for example, where the cost of supply is greater than the media</w:t>
      </w:r>
      <w:r w:rsidR="00232773">
        <w:rPr>
          <w:sz w:val="22"/>
          <w:szCs w:val="22"/>
        </w:rPr>
        <w:t>n</w:t>
      </w:r>
      <w:r>
        <w:rPr>
          <w:sz w:val="22"/>
          <w:szCs w:val="22"/>
        </w:rPr>
        <w:t xml:space="preserve"> house price because of depressed house prices in a particular location</w:t>
      </w:r>
      <w:r w:rsidR="00FF7142">
        <w:rPr>
          <w:sz w:val="22"/>
          <w:szCs w:val="22"/>
        </w:rPr>
        <w:t>.</w:t>
      </w:r>
    </w:p>
    <w:p w:rsidR="00884D44" w:rsidRDefault="00884D44" w:rsidP="00884D44">
      <w:pPr>
        <w:rPr>
          <w:sz w:val="22"/>
          <w:szCs w:val="22"/>
        </w:rPr>
      </w:pPr>
    </w:p>
    <w:p w:rsidR="00884D44" w:rsidRDefault="008E1A60" w:rsidP="00562E29">
      <w:pPr>
        <w:pStyle w:val="Heading4"/>
      </w:pPr>
      <w:bookmarkStart w:id="24" w:name="_Toc377471351"/>
      <w:r>
        <w:t>Step 8</w:t>
      </w:r>
      <w:r w:rsidR="00884D44">
        <w:t xml:space="preserve">: Comparison of proposed price to </w:t>
      </w:r>
      <w:r w:rsidR="00D44CD3">
        <w:t xml:space="preserve">historical </w:t>
      </w:r>
      <w:r w:rsidR="00884D44">
        <w:t xml:space="preserve">bond levels </w:t>
      </w:r>
      <w:bookmarkEnd w:id="24"/>
    </w:p>
    <w:p w:rsidR="00884D44" w:rsidRDefault="00884D44" w:rsidP="00884D44">
      <w:pPr>
        <w:rPr>
          <w:sz w:val="22"/>
          <w:szCs w:val="22"/>
        </w:rPr>
      </w:pPr>
    </w:p>
    <w:p w:rsidR="00D44CD3" w:rsidRDefault="00232773" w:rsidP="00884D44">
      <w:pPr>
        <w:rPr>
          <w:sz w:val="22"/>
          <w:szCs w:val="22"/>
        </w:rPr>
      </w:pPr>
      <w:r>
        <w:rPr>
          <w:sz w:val="22"/>
          <w:szCs w:val="22"/>
        </w:rPr>
        <w:t xml:space="preserve">Where the proposed price is for an existing facility, the historical bond price for the rooms or parts of rooms will be relevant. There may be explanation provided for an increased price sought, but the historical bond price can give some indication of value. </w:t>
      </w:r>
      <w:r w:rsidR="006816B5">
        <w:rPr>
          <w:sz w:val="22"/>
          <w:szCs w:val="22"/>
        </w:rPr>
        <w:t>However, assessors are to observe that this comparison should not be employed in isolation as a factor in recommending refusal or approval of a proposed price. Regardless of bond history, applicants are still required to provide sufficient other justification for a proposed price. Conversely, there may be emergent market or business factors which render this comparison less reliable in some circumstances.</w:t>
      </w:r>
    </w:p>
    <w:p w:rsidR="006816B5" w:rsidRDefault="006816B5" w:rsidP="00884D44">
      <w:pPr>
        <w:rPr>
          <w:sz w:val="22"/>
          <w:szCs w:val="22"/>
        </w:rPr>
      </w:pPr>
    </w:p>
    <w:p w:rsidR="00884D44" w:rsidRDefault="006816B5" w:rsidP="00884D44">
      <w:pPr>
        <w:rPr>
          <w:sz w:val="22"/>
          <w:szCs w:val="22"/>
        </w:rPr>
      </w:pPr>
      <w:r>
        <w:rPr>
          <w:sz w:val="22"/>
          <w:szCs w:val="22"/>
        </w:rPr>
        <w:t xml:space="preserve">Assessors are to compare historical bond value </w:t>
      </w:r>
      <w:r w:rsidR="008E1A60">
        <w:rPr>
          <w:sz w:val="22"/>
          <w:szCs w:val="22"/>
        </w:rPr>
        <w:t>to the proposed price.</w:t>
      </w:r>
    </w:p>
    <w:p w:rsidR="00884D44" w:rsidRDefault="00884D44" w:rsidP="00884D44">
      <w:pPr>
        <w:rPr>
          <w:sz w:val="22"/>
          <w:szCs w:val="22"/>
        </w:rPr>
      </w:pPr>
    </w:p>
    <w:p w:rsidR="00884D44" w:rsidRPr="005A2503" w:rsidRDefault="00884D44" w:rsidP="00562E29">
      <w:pPr>
        <w:pStyle w:val="Heading3"/>
      </w:pPr>
      <w:bookmarkStart w:id="25" w:name="_Toc380153546"/>
      <w:r w:rsidRPr="005A2503">
        <w:t xml:space="preserve">Financial </w:t>
      </w:r>
      <w:r w:rsidR="006816B5">
        <w:t>data</w:t>
      </w:r>
      <w:bookmarkEnd w:id="25"/>
    </w:p>
    <w:p w:rsidR="00884D44" w:rsidRDefault="00884D44" w:rsidP="00884D44">
      <w:pPr>
        <w:rPr>
          <w:sz w:val="22"/>
          <w:szCs w:val="22"/>
        </w:rPr>
      </w:pPr>
    </w:p>
    <w:p w:rsidR="00884D44" w:rsidRDefault="008E1A60" w:rsidP="00562E29">
      <w:pPr>
        <w:pStyle w:val="Heading4"/>
      </w:pPr>
      <w:bookmarkStart w:id="26" w:name="_Toc377471352"/>
      <w:r>
        <w:t>Step 9</w:t>
      </w:r>
      <w:r w:rsidR="00884D44" w:rsidRPr="00BA257C">
        <w:t xml:space="preserve">: Weighted Average Cost of Capital </w:t>
      </w:r>
      <w:r w:rsidR="006816B5">
        <w:t>or other financial measures</w:t>
      </w:r>
      <w:bookmarkEnd w:id="26"/>
    </w:p>
    <w:p w:rsidR="00884D44" w:rsidRDefault="00884D44" w:rsidP="00884D44">
      <w:pPr>
        <w:rPr>
          <w:rFonts w:cs="Arial"/>
          <w:sz w:val="22"/>
          <w:szCs w:val="22"/>
        </w:rPr>
      </w:pPr>
    </w:p>
    <w:p w:rsidR="00884D44" w:rsidRDefault="00884D44" w:rsidP="00884D44">
      <w:pPr>
        <w:rPr>
          <w:rFonts w:cs="Arial"/>
          <w:sz w:val="22"/>
          <w:szCs w:val="22"/>
        </w:rPr>
      </w:pPr>
      <w:r>
        <w:rPr>
          <w:rFonts w:cs="Arial"/>
          <w:sz w:val="22"/>
          <w:szCs w:val="22"/>
        </w:rPr>
        <w:t>At Table 2.1, applicants are asked to provide information relating to the relevant Weighted Average Cost of Capital (WACC) at the facility level, or at the enterprise level where this is more relevant, or to provide other financial measure</w:t>
      </w:r>
      <w:r w:rsidR="008E1A60">
        <w:rPr>
          <w:rFonts w:cs="Arial"/>
          <w:sz w:val="22"/>
          <w:szCs w:val="22"/>
        </w:rPr>
        <w:t>s</w:t>
      </w:r>
      <w:r>
        <w:rPr>
          <w:rFonts w:cs="Arial"/>
          <w:sz w:val="22"/>
          <w:szCs w:val="22"/>
        </w:rPr>
        <w:t xml:space="preserve"> such as Earnings Before Interest, Tax, Depreci</w:t>
      </w:r>
      <w:r w:rsidR="00232773">
        <w:rPr>
          <w:rFonts w:cs="Arial"/>
          <w:sz w:val="22"/>
          <w:szCs w:val="22"/>
        </w:rPr>
        <w:t xml:space="preserve">ation and Amortisation (EBITDA), </w:t>
      </w:r>
      <w:r>
        <w:rPr>
          <w:rFonts w:cs="Arial"/>
          <w:sz w:val="22"/>
          <w:szCs w:val="22"/>
        </w:rPr>
        <w:t>Net Profit Before Tax (NPBT)</w:t>
      </w:r>
      <w:r w:rsidR="00D52E0B">
        <w:rPr>
          <w:rFonts w:cs="Arial"/>
          <w:sz w:val="22"/>
          <w:szCs w:val="22"/>
        </w:rPr>
        <w:t>, Internal R</w:t>
      </w:r>
      <w:r w:rsidR="00232773">
        <w:rPr>
          <w:rFonts w:cs="Arial"/>
          <w:sz w:val="22"/>
          <w:szCs w:val="22"/>
        </w:rPr>
        <w:t>ate of Return (IRR) or Return on Investment (ROI)</w:t>
      </w:r>
      <w:r>
        <w:rPr>
          <w:rFonts w:cs="Arial"/>
          <w:sz w:val="22"/>
          <w:szCs w:val="22"/>
        </w:rPr>
        <w:t>.</w:t>
      </w:r>
    </w:p>
    <w:p w:rsidR="00884D44" w:rsidRDefault="00884D44" w:rsidP="00884D44">
      <w:pPr>
        <w:rPr>
          <w:rFonts w:cs="Arial"/>
          <w:sz w:val="22"/>
          <w:szCs w:val="22"/>
        </w:rPr>
      </w:pPr>
    </w:p>
    <w:p w:rsidR="00884D44" w:rsidRDefault="00884D44" w:rsidP="00884D44">
      <w:pPr>
        <w:rPr>
          <w:sz w:val="22"/>
          <w:szCs w:val="22"/>
        </w:rPr>
      </w:pPr>
      <w:r>
        <w:rPr>
          <w:rFonts w:cs="Arial"/>
          <w:sz w:val="22"/>
          <w:szCs w:val="22"/>
        </w:rPr>
        <w:t xml:space="preserve">Collection of </w:t>
      </w:r>
      <w:r w:rsidR="00232773">
        <w:rPr>
          <w:rFonts w:cs="Arial"/>
          <w:sz w:val="22"/>
          <w:szCs w:val="22"/>
        </w:rPr>
        <w:t>financial information</w:t>
      </w:r>
      <w:r>
        <w:rPr>
          <w:rFonts w:cs="Arial"/>
          <w:sz w:val="22"/>
          <w:szCs w:val="22"/>
        </w:rPr>
        <w:t xml:space="preserve"> allows assessors to</w:t>
      </w:r>
      <w:r w:rsidR="00232773">
        <w:rPr>
          <w:rFonts w:cs="Arial"/>
          <w:sz w:val="22"/>
          <w:szCs w:val="22"/>
        </w:rPr>
        <w:t xml:space="preserve"> consider the impact of business objectives in contributing to the price sought.</w:t>
      </w:r>
      <w:r>
        <w:rPr>
          <w:rFonts w:cs="Arial"/>
          <w:sz w:val="22"/>
          <w:szCs w:val="22"/>
        </w:rPr>
        <w:t xml:space="preserve"> Accordingly, these measures shoul</w:t>
      </w:r>
      <w:r w:rsidR="00B06020">
        <w:rPr>
          <w:rFonts w:cs="Arial"/>
          <w:sz w:val="22"/>
          <w:szCs w:val="22"/>
        </w:rPr>
        <w:t>d also be considered at S</w:t>
      </w:r>
      <w:r w:rsidR="008613AE">
        <w:rPr>
          <w:rFonts w:cs="Arial"/>
          <w:sz w:val="22"/>
          <w:szCs w:val="22"/>
        </w:rPr>
        <w:t>teps 13</w:t>
      </w:r>
      <w:r w:rsidR="008E1A60">
        <w:rPr>
          <w:rFonts w:cs="Arial"/>
          <w:sz w:val="22"/>
          <w:szCs w:val="22"/>
        </w:rPr>
        <w:t xml:space="preserve"> – 14</w:t>
      </w:r>
      <w:r>
        <w:rPr>
          <w:rFonts w:cs="Arial"/>
          <w:sz w:val="22"/>
          <w:szCs w:val="22"/>
        </w:rPr>
        <w:t>.</w:t>
      </w:r>
      <w:r w:rsidR="00BF1F70">
        <w:rPr>
          <w:sz w:val="22"/>
          <w:szCs w:val="22"/>
        </w:rPr>
        <w:t xml:space="preserve"> </w:t>
      </w:r>
    </w:p>
    <w:p w:rsidR="008613AE" w:rsidRDefault="008613AE" w:rsidP="00884D44">
      <w:pPr>
        <w:rPr>
          <w:sz w:val="22"/>
          <w:szCs w:val="22"/>
        </w:rPr>
      </w:pPr>
    </w:p>
    <w:p w:rsidR="008613AE" w:rsidRDefault="008613AE" w:rsidP="008613AE">
      <w:pPr>
        <w:pStyle w:val="Heading3"/>
      </w:pPr>
      <w:bookmarkStart w:id="27" w:name="_Toc377471353"/>
      <w:bookmarkStart w:id="28" w:name="_Toc380153547"/>
      <w:r>
        <w:t>Business model considerations</w:t>
      </w:r>
      <w:bookmarkEnd w:id="27"/>
      <w:bookmarkEnd w:id="28"/>
    </w:p>
    <w:p w:rsidR="008613AE" w:rsidRDefault="008613AE" w:rsidP="008613AE">
      <w:pPr>
        <w:rPr>
          <w:rFonts w:cs="Arial"/>
          <w:sz w:val="22"/>
          <w:szCs w:val="22"/>
        </w:rPr>
      </w:pPr>
    </w:p>
    <w:p w:rsidR="008613AE" w:rsidRDefault="008613AE" w:rsidP="008613AE">
      <w:pPr>
        <w:rPr>
          <w:rFonts w:cs="Arial"/>
          <w:sz w:val="22"/>
          <w:szCs w:val="22"/>
        </w:rPr>
      </w:pPr>
      <w:r w:rsidRPr="00BF3587">
        <w:rPr>
          <w:rFonts w:cs="Arial"/>
          <w:sz w:val="22"/>
          <w:szCs w:val="22"/>
        </w:rPr>
        <w:t>Table 2.1 – Proposed Price Considerations invites applicants to include, by way of narrative or business case, their considerations supporting the proposed price. This may be included in the table at 2.1</w:t>
      </w:r>
      <w:r>
        <w:rPr>
          <w:rFonts w:cs="Arial"/>
          <w:sz w:val="22"/>
          <w:szCs w:val="22"/>
        </w:rPr>
        <w:t>, or as an attachment to the</w:t>
      </w:r>
      <w:r w:rsidRPr="00BF3587">
        <w:rPr>
          <w:rFonts w:cs="Arial"/>
          <w:sz w:val="22"/>
          <w:szCs w:val="22"/>
        </w:rPr>
        <w:t xml:space="preserve"> application form in the form of</w:t>
      </w:r>
      <w:r>
        <w:rPr>
          <w:rFonts w:cs="Arial"/>
          <w:sz w:val="22"/>
          <w:szCs w:val="22"/>
        </w:rPr>
        <w:t xml:space="preserve"> narrative, business case and</w:t>
      </w:r>
      <w:r w:rsidRPr="00BF3587">
        <w:rPr>
          <w:rFonts w:cs="Arial"/>
          <w:sz w:val="22"/>
          <w:szCs w:val="22"/>
        </w:rPr>
        <w:t xml:space="preserve"> building and design specifications and plans.</w:t>
      </w:r>
    </w:p>
    <w:p w:rsidR="008613AE" w:rsidRDefault="008613AE" w:rsidP="008613AE">
      <w:pPr>
        <w:rPr>
          <w:rFonts w:cs="Arial"/>
          <w:sz w:val="22"/>
          <w:szCs w:val="22"/>
        </w:rPr>
      </w:pPr>
    </w:p>
    <w:p w:rsidR="008613AE" w:rsidRDefault="008613AE" w:rsidP="008613AE">
      <w:pPr>
        <w:rPr>
          <w:rFonts w:cs="Arial"/>
          <w:sz w:val="22"/>
          <w:szCs w:val="22"/>
        </w:rPr>
      </w:pPr>
      <w:r w:rsidRPr="00BF3587">
        <w:rPr>
          <w:rFonts w:cs="Arial"/>
          <w:sz w:val="22"/>
          <w:szCs w:val="22"/>
        </w:rPr>
        <w:t xml:space="preserve">Applicants are invited to include any information relevant to the support of the proposed price that is not </w:t>
      </w:r>
      <w:r>
        <w:rPr>
          <w:rFonts w:cs="Arial"/>
          <w:sz w:val="22"/>
          <w:szCs w:val="22"/>
        </w:rPr>
        <w:t xml:space="preserve">included in the cost of supply, or costs that are not directly </w:t>
      </w:r>
      <w:r w:rsidRPr="00BF3587">
        <w:rPr>
          <w:rFonts w:cs="Arial"/>
          <w:sz w:val="22"/>
          <w:szCs w:val="22"/>
        </w:rPr>
        <w:t xml:space="preserve">attributed or capitalised to the particular accommodation group (such as holding costs, start-up costs, fees and charges related to statutory requirements for a development, and attributable corporate overheads). </w:t>
      </w:r>
    </w:p>
    <w:p w:rsidR="008613AE" w:rsidRDefault="008613AE" w:rsidP="008613AE">
      <w:pPr>
        <w:rPr>
          <w:rFonts w:cs="Arial"/>
          <w:sz w:val="22"/>
          <w:szCs w:val="22"/>
        </w:rPr>
      </w:pPr>
    </w:p>
    <w:p w:rsidR="008613AE" w:rsidRDefault="008613AE" w:rsidP="008613AE">
      <w:pPr>
        <w:rPr>
          <w:sz w:val="22"/>
          <w:szCs w:val="22"/>
        </w:rPr>
      </w:pPr>
      <w:r>
        <w:rPr>
          <w:sz w:val="22"/>
          <w:szCs w:val="22"/>
        </w:rPr>
        <w:lastRenderedPageBreak/>
        <w:t xml:space="preserve">Assessors will need to distinguish between those factors that have already been captured in cost components (reflected in land, construction or rate of return costs) and those factors that are either intrinsic and cannot be captured in cost, or are necessary factors in an applicant’s business model. </w:t>
      </w:r>
    </w:p>
    <w:p w:rsidR="008613AE" w:rsidRPr="00BF3587" w:rsidRDefault="008613AE" w:rsidP="008613AE">
      <w:pPr>
        <w:rPr>
          <w:sz w:val="22"/>
          <w:szCs w:val="22"/>
        </w:rPr>
      </w:pPr>
    </w:p>
    <w:p w:rsidR="008613AE" w:rsidRDefault="008613AE" w:rsidP="008613AE">
      <w:pPr>
        <w:pStyle w:val="Heading4"/>
      </w:pPr>
      <w:bookmarkStart w:id="29" w:name="_Toc377471354"/>
      <w:r>
        <w:t>Step 10: Identification of proposed price considerations</w:t>
      </w:r>
      <w:bookmarkEnd w:id="29"/>
    </w:p>
    <w:p w:rsidR="008613AE" w:rsidRDefault="008613AE" w:rsidP="008613AE">
      <w:pPr>
        <w:rPr>
          <w:rFonts w:cs="Arial"/>
          <w:sz w:val="22"/>
          <w:szCs w:val="22"/>
        </w:rPr>
      </w:pPr>
    </w:p>
    <w:p w:rsidR="008613AE" w:rsidRDefault="008613AE" w:rsidP="008613AE">
      <w:pPr>
        <w:rPr>
          <w:rFonts w:cs="Arial"/>
          <w:sz w:val="22"/>
          <w:szCs w:val="22"/>
        </w:rPr>
      </w:pPr>
      <w:r>
        <w:rPr>
          <w:rFonts w:cs="Arial"/>
          <w:sz w:val="22"/>
          <w:szCs w:val="22"/>
        </w:rPr>
        <w:t xml:space="preserve">Assessors are to review the narrative provided in Table 2.1, or any attached narrative or business case, and to derive particular key components of the proposed price. These are to be recorded for each accommodation group, and considered collectively at Steps 13 and 14. </w:t>
      </w:r>
    </w:p>
    <w:p w:rsidR="008613AE" w:rsidRDefault="008613AE" w:rsidP="008613AE">
      <w:pPr>
        <w:rPr>
          <w:rFonts w:cs="Arial"/>
          <w:sz w:val="22"/>
          <w:szCs w:val="22"/>
        </w:rPr>
      </w:pPr>
    </w:p>
    <w:p w:rsidR="008613AE" w:rsidRDefault="008613AE" w:rsidP="008613AE">
      <w:pPr>
        <w:rPr>
          <w:sz w:val="22"/>
          <w:szCs w:val="22"/>
        </w:rPr>
      </w:pPr>
      <w:r>
        <w:rPr>
          <w:sz w:val="22"/>
          <w:szCs w:val="22"/>
        </w:rPr>
        <w:t>These aspects and factors may include (but are not limited to):</w:t>
      </w:r>
    </w:p>
    <w:p w:rsidR="008613AE" w:rsidRDefault="008613AE" w:rsidP="008613AE">
      <w:pPr>
        <w:rPr>
          <w:sz w:val="22"/>
          <w:szCs w:val="22"/>
        </w:rPr>
      </w:pPr>
    </w:p>
    <w:p w:rsidR="008613AE" w:rsidRDefault="008613AE" w:rsidP="008613AE">
      <w:pPr>
        <w:pStyle w:val="ListParagraph"/>
        <w:numPr>
          <w:ilvl w:val="0"/>
          <w:numId w:val="22"/>
        </w:numPr>
        <w:rPr>
          <w:sz w:val="22"/>
          <w:szCs w:val="22"/>
        </w:rPr>
      </w:pPr>
      <w:r>
        <w:rPr>
          <w:sz w:val="22"/>
          <w:szCs w:val="22"/>
        </w:rPr>
        <w:t>Land and building value (where relevant);</w:t>
      </w:r>
    </w:p>
    <w:p w:rsidR="008613AE" w:rsidRDefault="008613AE" w:rsidP="008613AE">
      <w:pPr>
        <w:pStyle w:val="ListParagraph"/>
        <w:numPr>
          <w:ilvl w:val="0"/>
          <w:numId w:val="22"/>
        </w:numPr>
        <w:rPr>
          <w:sz w:val="22"/>
          <w:szCs w:val="22"/>
        </w:rPr>
      </w:pPr>
      <w:r>
        <w:rPr>
          <w:sz w:val="22"/>
          <w:szCs w:val="22"/>
        </w:rPr>
        <w:t xml:space="preserve">Funding of accommodation in general within the facility or service in the context of the applicant’s business model; </w:t>
      </w:r>
    </w:p>
    <w:p w:rsidR="008613AE" w:rsidRDefault="008613AE" w:rsidP="008613AE">
      <w:pPr>
        <w:pStyle w:val="ListParagraph"/>
        <w:numPr>
          <w:ilvl w:val="0"/>
          <w:numId w:val="22"/>
        </w:numPr>
        <w:rPr>
          <w:sz w:val="22"/>
          <w:szCs w:val="22"/>
        </w:rPr>
      </w:pPr>
      <w:r>
        <w:rPr>
          <w:sz w:val="22"/>
          <w:szCs w:val="22"/>
        </w:rPr>
        <w:t>Facility-level corporate costs not directly attributed to the accommodation group;</w:t>
      </w:r>
    </w:p>
    <w:p w:rsidR="008613AE" w:rsidRPr="00B1075E" w:rsidRDefault="008613AE" w:rsidP="008613AE">
      <w:pPr>
        <w:pStyle w:val="ListParagraph"/>
        <w:numPr>
          <w:ilvl w:val="0"/>
          <w:numId w:val="22"/>
        </w:numPr>
        <w:rPr>
          <w:sz w:val="22"/>
          <w:szCs w:val="22"/>
        </w:rPr>
      </w:pPr>
      <w:r w:rsidRPr="00B1075E">
        <w:rPr>
          <w:sz w:val="22"/>
          <w:szCs w:val="22"/>
        </w:rPr>
        <w:t xml:space="preserve">Estimates of projected occupancy levels, the provision of accommodation for respite and </w:t>
      </w:r>
      <w:r>
        <w:rPr>
          <w:sz w:val="22"/>
          <w:szCs w:val="22"/>
        </w:rPr>
        <w:t>supported</w:t>
      </w:r>
      <w:r w:rsidRPr="00B1075E">
        <w:rPr>
          <w:sz w:val="22"/>
          <w:szCs w:val="22"/>
        </w:rPr>
        <w:t xml:space="preserve"> residents, and any other factors affecting the requirement to set a proposed price at a particular level, including projected occupancy during the start-up phase of a new facility;</w:t>
      </w:r>
    </w:p>
    <w:p w:rsidR="008613AE" w:rsidRPr="00B1075E" w:rsidRDefault="008613AE" w:rsidP="008613AE">
      <w:pPr>
        <w:pStyle w:val="ListParagraph"/>
        <w:numPr>
          <w:ilvl w:val="0"/>
          <w:numId w:val="22"/>
        </w:numPr>
        <w:rPr>
          <w:sz w:val="22"/>
          <w:szCs w:val="22"/>
        </w:rPr>
      </w:pPr>
      <w:r>
        <w:rPr>
          <w:sz w:val="22"/>
          <w:szCs w:val="22"/>
        </w:rPr>
        <w:t>A</w:t>
      </w:r>
      <w:r w:rsidRPr="00B1075E">
        <w:rPr>
          <w:sz w:val="22"/>
          <w:szCs w:val="22"/>
        </w:rPr>
        <w:t>ny information relating to a</w:t>
      </w:r>
      <w:r>
        <w:rPr>
          <w:sz w:val="22"/>
          <w:szCs w:val="22"/>
        </w:rPr>
        <w:t>n overall pricing plan; and</w:t>
      </w:r>
    </w:p>
    <w:p w:rsidR="008613AE" w:rsidRDefault="008613AE" w:rsidP="008613AE">
      <w:pPr>
        <w:pStyle w:val="ListParagraph"/>
        <w:numPr>
          <w:ilvl w:val="0"/>
          <w:numId w:val="22"/>
        </w:numPr>
        <w:rPr>
          <w:sz w:val="22"/>
          <w:szCs w:val="22"/>
        </w:rPr>
      </w:pPr>
      <w:r>
        <w:rPr>
          <w:sz w:val="22"/>
          <w:szCs w:val="22"/>
        </w:rPr>
        <w:t>Market-based considerations.</w:t>
      </w:r>
    </w:p>
    <w:p w:rsidR="008613AE" w:rsidRDefault="008613AE" w:rsidP="008613AE">
      <w:pPr>
        <w:pStyle w:val="ListParagraph"/>
        <w:rPr>
          <w:sz w:val="22"/>
          <w:szCs w:val="22"/>
        </w:rPr>
      </w:pPr>
    </w:p>
    <w:p w:rsidR="0027091B" w:rsidRDefault="0027091B" w:rsidP="00884D44">
      <w:pPr>
        <w:rPr>
          <w:sz w:val="22"/>
          <w:szCs w:val="22"/>
        </w:rPr>
      </w:pPr>
    </w:p>
    <w:p w:rsidR="00BF1F70" w:rsidRDefault="00453216" w:rsidP="00562E29">
      <w:pPr>
        <w:pStyle w:val="Heading3"/>
      </w:pPr>
      <w:bookmarkStart w:id="30" w:name="_Toc377471355"/>
      <w:bookmarkStart w:id="31" w:name="_Toc380153548"/>
      <w:r>
        <w:t>C</w:t>
      </w:r>
      <w:r w:rsidR="00BF1F70">
        <w:t>ost of supply considerations</w:t>
      </w:r>
      <w:bookmarkEnd w:id="30"/>
      <w:bookmarkEnd w:id="31"/>
    </w:p>
    <w:p w:rsidR="00BF1F70" w:rsidRDefault="00BF1F70" w:rsidP="00BF1F70">
      <w:pPr>
        <w:rPr>
          <w:sz w:val="22"/>
          <w:szCs w:val="22"/>
        </w:rPr>
      </w:pPr>
    </w:p>
    <w:p w:rsidR="00BF1F70" w:rsidRPr="002756C8" w:rsidRDefault="008613AE" w:rsidP="00562E29">
      <w:pPr>
        <w:pStyle w:val="Heading4"/>
      </w:pPr>
      <w:bookmarkStart w:id="32" w:name="_Toc377471356"/>
      <w:r>
        <w:t>Step 11</w:t>
      </w:r>
      <w:r w:rsidR="00BF1F70">
        <w:t>: Identification of cost considerations</w:t>
      </w:r>
      <w:bookmarkEnd w:id="32"/>
    </w:p>
    <w:p w:rsidR="00BF1F70" w:rsidRDefault="00BF1F70" w:rsidP="00BF1F70">
      <w:pPr>
        <w:rPr>
          <w:sz w:val="22"/>
          <w:szCs w:val="22"/>
        </w:rPr>
      </w:pPr>
    </w:p>
    <w:p w:rsidR="00BF1F70" w:rsidRDefault="00BF1F70" w:rsidP="00BF1F70">
      <w:pPr>
        <w:rPr>
          <w:sz w:val="22"/>
          <w:szCs w:val="22"/>
        </w:rPr>
      </w:pPr>
      <w:r w:rsidRPr="00E32635">
        <w:rPr>
          <w:sz w:val="22"/>
          <w:szCs w:val="22"/>
        </w:rPr>
        <w:t xml:space="preserve">Table 2.2 – Cost of Supply Considerations requires applicants to provide information relating to components of the cost of accommodation supply that support the proposed price. </w:t>
      </w:r>
    </w:p>
    <w:p w:rsidR="00BF1F70" w:rsidRPr="00E32635" w:rsidRDefault="00BF1F70" w:rsidP="00BF1F70">
      <w:pPr>
        <w:rPr>
          <w:sz w:val="22"/>
          <w:szCs w:val="22"/>
        </w:rPr>
      </w:pPr>
    </w:p>
    <w:p w:rsidR="00BF1F70" w:rsidRPr="00E32635" w:rsidRDefault="00BF1F70" w:rsidP="00BF1F70">
      <w:pPr>
        <w:rPr>
          <w:sz w:val="22"/>
          <w:szCs w:val="22"/>
        </w:rPr>
      </w:pPr>
      <w:r w:rsidRPr="00E32635">
        <w:rPr>
          <w:sz w:val="22"/>
          <w:szCs w:val="22"/>
        </w:rPr>
        <w:t xml:space="preserve">It is not envisaged that these cost </w:t>
      </w:r>
      <w:r>
        <w:rPr>
          <w:sz w:val="22"/>
          <w:szCs w:val="22"/>
        </w:rPr>
        <w:t xml:space="preserve">of supply </w:t>
      </w:r>
      <w:r w:rsidRPr="00E32635">
        <w:rPr>
          <w:sz w:val="22"/>
          <w:szCs w:val="22"/>
        </w:rPr>
        <w:t xml:space="preserve">components </w:t>
      </w:r>
      <w:r>
        <w:rPr>
          <w:sz w:val="22"/>
          <w:szCs w:val="22"/>
        </w:rPr>
        <w:t>are detailed</w:t>
      </w:r>
      <w:r w:rsidRPr="00E32635">
        <w:rPr>
          <w:sz w:val="22"/>
          <w:szCs w:val="22"/>
        </w:rPr>
        <w:t>, but are components that are key elements of the cost.</w:t>
      </w:r>
    </w:p>
    <w:p w:rsidR="00BF1F70" w:rsidRPr="00E32635" w:rsidRDefault="00BF1F70" w:rsidP="00BF1F70">
      <w:pPr>
        <w:rPr>
          <w:sz w:val="22"/>
          <w:szCs w:val="22"/>
        </w:rPr>
      </w:pPr>
    </w:p>
    <w:p w:rsidR="00BF1F70" w:rsidRDefault="00BF1F70" w:rsidP="00BF1F70">
      <w:pPr>
        <w:rPr>
          <w:sz w:val="22"/>
          <w:szCs w:val="22"/>
        </w:rPr>
      </w:pPr>
      <w:r w:rsidRPr="00E32635">
        <w:rPr>
          <w:sz w:val="22"/>
          <w:szCs w:val="22"/>
        </w:rPr>
        <w:t xml:space="preserve">Assessors are to review the </w:t>
      </w:r>
      <w:r>
        <w:rPr>
          <w:sz w:val="22"/>
          <w:szCs w:val="22"/>
        </w:rPr>
        <w:t>cost of supply factors provided in Table 2.2 and to determine whether these factors have been sufficiently evidenced. An indicative list of acceptable evidence is provided at Appendix 2.</w:t>
      </w:r>
    </w:p>
    <w:p w:rsidR="009F15E2" w:rsidRDefault="009F15E2" w:rsidP="00BF1F70">
      <w:pPr>
        <w:rPr>
          <w:sz w:val="22"/>
          <w:szCs w:val="22"/>
        </w:rPr>
      </w:pPr>
    </w:p>
    <w:p w:rsidR="009F15E2" w:rsidRDefault="009F15E2" w:rsidP="00BF1F70">
      <w:pPr>
        <w:rPr>
          <w:sz w:val="22"/>
          <w:szCs w:val="22"/>
        </w:rPr>
      </w:pPr>
      <w:r>
        <w:rPr>
          <w:sz w:val="22"/>
          <w:szCs w:val="22"/>
        </w:rPr>
        <w:t xml:space="preserve">Where assessors review and verify costs, they must consider and establish whether costs such as construction costs that are provided are incorporated into subsequent building valuations. </w:t>
      </w:r>
    </w:p>
    <w:p w:rsidR="00223E2A" w:rsidRDefault="00223E2A" w:rsidP="00BF1F70">
      <w:pPr>
        <w:rPr>
          <w:sz w:val="22"/>
          <w:szCs w:val="22"/>
        </w:rPr>
      </w:pPr>
    </w:p>
    <w:p w:rsidR="00223E2A" w:rsidRDefault="00223E2A" w:rsidP="00BF1F70">
      <w:pPr>
        <w:rPr>
          <w:sz w:val="22"/>
          <w:szCs w:val="22"/>
        </w:rPr>
      </w:pPr>
      <w:r>
        <w:rPr>
          <w:sz w:val="22"/>
          <w:szCs w:val="22"/>
        </w:rPr>
        <w:t>Assessors are to establish the degree to which the proposed price is reflective of cost of supply factors. In doing so, assessors should consider that existing facilities, proposed new facilities and proposed refurbished facilities may have different levels of cost that can be attributed to the accommodation group.</w:t>
      </w:r>
    </w:p>
    <w:p w:rsidR="00BF1F70" w:rsidRDefault="00BF1F70" w:rsidP="00BF1F70">
      <w:pPr>
        <w:rPr>
          <w:rFonts w:cs="Arial"/>
          <w:sz w:val="22"/>
          <w:szCs w:val="22"/>
        </w:rPr>
      </w:pPr>
    </w:p>
    <w:p w:rsidR="00BF1F70" w:rsidRDefault="00BF1F70" w:rsidP="00BF1F70">
      <w:pPr>
        <w:rPr>
          <w:sz w:val="22"/>
          <w:szCs w:val="22"/>
        </w:rPr>
      </w:pPr>
      <w:r>
        <w:rPr>
          <w:rFonts w:cs="Arial"/>
          <w:sz w:val="22"/>
          <w:szCs w:val="22"/>
        </w:rPr>
        <w:t xml:space="preserve">Where multiple accommodation groups are included </w:t>
      </w:r>
      <w:r w:rsidR="008613AE">
        <w:rPr>
          <w:rFonts w:cs="Arial"/>
          <w:sz w:val="22"/>
          <w:szCs w:val="22"/>
        </w:rPr>
        <w:t>for consideration, Steps 11</w:t>
      </w:r>
      <w:r w:rsidR="00D52E0B">
        <w:rPr>
          <w:rFonts w:cs="Arial"/>
          <w:sz w:val="22"/>
          <w:szCs w:val="22"/>
        </w:rPr>
        <w:t xml:space="preserve"> – 17</w:t>
      </w:r>
      <w:r>
        <w:rPr>
          <w:rFonts w:cs="Arial"/>
          <w:sz w:val="22"/>
          <w:szCs w:val="22"/>
        </w:rPr>
        <w:t xml:space="preserve"> are to be completed as required for each accommodation group.</w:t>
      </w:r>
    </w:p>
    <w:p w:rsidR="00884D44" w:rsidRDefault="00884D44" w:rsidP="00884D44"/>
    <w:p w:rsidR="00732BB8" w:rsidRDefault="00732BB8" w:rsidP="00884D44">
      <w:pPr>
        <w:rPr>
          <w:rFonts w:cs="Arial"/>
          <w:sz w:val="22"/>
          <w:szCs w:val="22"/>
        </w:rPr>
      </w:pPr>
    </w:p>
    <w:p w:rsidR="00884D44" w:rsidRDefault="00732BB8" w:rsidP="00562E29">
      <w:pPr>
        <w:pStyle w:val="Heading3"/>
      </w:pPr>
      <w:bookmarkStart w:id="33" w:name="_Toc377471359"/>
      <w:bookmarkStart w:id="34" w:name="_Toc380153549"/>
      <w:r>
        <w:t>Quality, condition and amenity</w:t>
      </w:r>
      <w:r w:rsidR="00556487">
        <w:t xml:space="preserve"> </w:t>
      </w:r>
      <w:r w:rsidR="00884D44">
        <w:t>considerations</w:t>
      </w:r>
      <w:bookmarkEnd w:id="33"/>
      <w:bookmarkEnd w:id="34"/>
    </w:p>
    <w:p w:rsidR="00884D44" w:rsidRDefault="00884D44" w:rsidP="00884D44">
      <w:pPr>
        <w:rPr>
          <w:sz w:val="22"/>
          <w:szCs w:val="22"/>
        </w:rPr>
      </w:pPr>
    </w:p>
    <w:p w:rsidR="00884D44" w:rsidRDefault="00556487" w:rsidP="00562E29">
      <w:pPr>
        <w:pStyle w:val="Heading4"/>
      </w:pPr>
      <w:bookmarkStart w:id="35" w:name="_Toc377471360"/>
      <w:r>
        <w:t>Step 12</w:t>
      </w:r>
      <w:r w:rsidR="00884D44">
        <w:t xml:space="preserve">: </w:t>
      </w:r>
      <w:r w:rsidR="00B06020">
        <w:t>Identification</w:t>
      </w:r>
      <w:r>
        <w:t xml:space="preserve"> of </w:t>
      </w:r>
      <w:r w:rsidR="00732BB8">
        <w:t>quality, condition and amenity</w:t>
      </w:r>
      <w:r>
        <w:t xml:space="preserve"> considerations</w:t>
      </w:r>
      <w:r w:rsidR="00884D44">
        <w:t xml:space="preserve"> </w:t>
      </w:r>
      <w:bookmarkEnd w:id="35"/>
    </w:p>
    <w:p w:rsidR="00732BB8" w:rsidRDefault="00732BB8" w:rsidP="00884D44">
      <w:pPr>
        <w:rPr>
          <w:sz w:val="22"/>
          <w:szCs w:val="22"/>
        </w:rPr>
      </w:pPr>
    </w:p>
    <w:p w:rsidR="00732BB8" w:rsidRDefault="00732BB8" w:rsidP="00732BB8">
      <w:pPr>
        <w:rPr>
          <w:rFonts w:cs="Arial"/>
          <w:sz w:val="22"/>
          <w:szCs w:val="22"/>
        </w:rPr>
      </w:pPr>
      <w:r>
        <w:rPr>
          <w:rFonts w:cs="Arial"/>
          <w:sz w:val="22"/>
          <w:szCs w:val="22"/>
        </w:rPr>
        <w:t xml:space="preserve">Assessors are to identify and describe, from information supplied in the narrative or in attachments, the rooms in the particular accommodation group(s) for which an approval of a price is sought. Where necessary, include reference to a building plan or other specifications in an attachment on the secure drive. Describe general characteristics of the accommodation group(s) such as size and design. </w:t>
      </w:r>
    </w:p>
    <w:p w:rsidR="00732BB8" w:rsidRDefault="00732BB8" w:rsidP="00884D44">
      <w:pPr>
        <w:rPr>
          <w:sz w:val="22"/>
          <w:szCs w:val="22"/>
        </w:rPr>
      </w:pPr>
    </w:p>
    <w:p w:rsidR="00884D44" w:rsidRDefault="00884D44" w:rsidP="00884D44">
      <w:pPr>
        <w:rPr>
          <w:sz w:val="22"/>
          <w:szCs w:val="22"/>
        </w:rPr>
      </w:pPr>
      <w:r>
        <w:rPr>
          <w:sz w:val="22"/>
          <w:szCs w:val="22"/>
        </w:rPr>
        <w:t xml:space="preserve">At this step, assessors are required to </w:t>
      </w:r>
      <w:r w:rsidR="00732BB8">
        <w:rPr>
          <w:sz w:val="22"/>
          <w:szCs w:val="22"/>
        </w:rPr>
        <w:t>identify quality, condition and amenity</w:t>
      </w:r>
      <w:r w:rsidR="00E90965">
        <w:rPr>
          <w:sz w:val="22"/>
          <w:szCs w:val="22"/>
        </w:rPr>
        <w:t xml:space="preserve"> </w:t>
      </w:r>
      <w:r>
        <w:rPr>
          <w:sz w:val="22"/>
          <w:szCs w:val="22"/>
        </w:rPr>
        <w:t>considerations</w:t>
      </w:r>
      <w:r w:rsidR="00732BB8">
        <w:rPr>
          <w:sz w:val="22"/>
          <w:szCs w:val="22"/>
        </w:rPr>
        <w:t xml:space="preserve">, and other related factors in the application </w:t>
      </w:r>
      <w:r>
        <w:rPr>
          <w:sz w:val="22"/>
          <w:szCs w:val="22"/>
        </w:rPr>
        <w:t xml:space="preserve">relating to the particular model of </w:t>
      </w:r>
      <w:r w:rsidR="00732BB8">
        <w:rPr>
          <w:sz w:val="22"/>
          <w:szCs w:val="22"/>
        </w:rPr>
        <w:t>care or standard of accommodation which are to be utilised in</w:t>
      </w:r>
      <w:r w:rsidR="00D65313">
        <w:rPr>
          <w:sz w:val="22"/>
          <w:szCs w:val="22"/>
        </w:rPr>
        <w:t xml:space="preserve"> </w:t>
      </w:r>
      <w:r>
        <w:rPr>
          <w:sz w:val="22"/>
          <w:szCs w:val="22"/>
        </w:rPr>
        <w:t>justify</w:t>
      </w:r>
      <w:r w:rsidR="00D65313">
        <w:rPr>
          <w:sz w:val="22"/>
          <w:szCs w:val="22"/>
        </w:rPr>
        <w:t>ing</w:t>
      </w:r>
      <w:r>
        <w:rPr>
          <w:sz w:val="22"/>
          <w:szCs w:val="22"/>
        </w:rPr>
        <w:t xml:space="preserve"> the proposed price.</w:t>
      </w:r>
    </w:p>
    <w:p w:rsidR="00732BB8" w:rsidRDefault="00732BB8" w:rsidP="00884D44">
      <w:pPr>
        <w:rPr>
          <w:sz w:val="22"/>
          <w:szCs w:val="22"/>
        </w:rPr>
      </w:pPr>
    </w:p>
    <w:p w:rsidR="00732BB8" w:rsidRDefault="00732BB8" w:rsidP="00884D44">
      <w:pPr>
        <w:rPr>
          <w:sz w:val="22"/>
          <w:szCs w:val="22"/>
        </w:rPr>
      </w:pPr>
      <w:r w:rsidRPr="00BF3587">
        <w:rPr>
          <w:rFonts w:cs="Arial"/>
          <w:sz w:val="22"/>
          <w:szCs w:val="22"/>
        </w:rPr>
        <w:t>Applicants may include reference to accommodation or design features of the particular accommodation or of the service, where these features are rele</w:t>
      </w:r>
      <w:r>
        <w:rPr>
          <w:rFonts w:cs="Arial"/>
          <w:sz w:val="22"/>
          <w:szCs w:val="22"/>
        </w:rPr>
        <w:t>vant to the person in the room, or any other relevant factors on a facility-wide or other basis which are relevant to the accommodation group.</w:t>
      </w:r>
    </w:p>
    <w:p w:rsidR="00732BB8" w:rsidRDefault="00732BB8" w:rsidP="00884D44">
      <w:pPr>
        <w:rPr>
          <w:sz w:val="22"/>
          <w:szCs w:val="22"/>
        </w:rPr>
      </w:pPr>
    </w:p>
    <w:p w:rsidR="00884D44" w:rsidRDefault="00884D44" w:rsidP="00884D44">
      <w:pPr>
        <w:rPr>
          <w:sz w:val="22"/>
          <w:szCs w:val="22"/>
        </w:rPr>
      </w:pPr>
      <w:r>
        <w:rPr>
          <w:sz w:val="22"/>
          <w:szCs w:val="22"/>
        </w:rPr>
        <w:t>These aspects and factors may include (but are not limited to):</w:t>
      </w:r>
    </w:p>
    <w:p w:rsidR="00884D44" w:rsidRDefault="00884D44" w:rsidP="00884D44">
      <w:pPr>
        <w:rPr>
          <w:sz w:val="22"/>
          <w:szCs w:val="22"/>
        </w:rPr>
      </w:pPr>
    </w:p>
    <w:p w:rsidR="00884D44" w:rsidRPr="00B1075E" w:rsidRDefault="00884D44" w:rsidP="00884D44">
      <w:pPr>
        <w:pStyle w:val="ListParagraph"/>
        <w:numPr>
          <w:ilvl w:val="0"/>
          <w:numId w:val="22"/>
        </w:numPr>
        <w:rPr>
          <w:sz w:val="22"/>
          <w:szCs w:val="22"/>
        </w:rPr>
      </w:pPr>
      <w:r w:rsidRPr="00B1075E">
        <w:rPr>
          <w:sz w:val="22"/>
          <w:szCs w:val="22"/>
        </w:rPr>
        <w:t>Narrative on aspects of the room such as</w:t>
      </w:r>
      <w:r>
        <w:rPr>
          <w:sz w:val="22"/>
          <w:szCs w:val="22"/>
        </w:rPr>
        <w:t xml:space="preserve"> quality, condition, size and amenity</w:t>
      </w:r>
      <w:r w:rsidRPr="00B1075E">
        <w:rPr>
          <w:sz w:val="22"/>
          <w:szCs w:val="22"/>
        </w:rPr>
        <w:t>;</w:t>
      </w:r>
    </w:p>
    <w:p w:rsidR="00884D44" w:rsidRDefault="00884D44" w:rsidP="00884D44">
      <w:pPr>
        <w:pStyle w:val="ListParagraph"/>
        <w:numPr>
          <w:ilvl w:val="0"/>
          <w:numId w:val="22"/>
        </w:numPr>
        <w:rPr>
          <w:sz w:val="22"/>
          <w:szCs w:val="22"/>
        </w:rPr>
      </w:pPr>
      <w:r w:rsidRPr="00B1075E">
        <w:rPr>
          <w:sz w:val="22"/>
          <w:szCs w:val="22"/>
        </w:rPr>
        <w:t>Narrative on the quality, condition</w:t>
      </w:r>
      <w:r>
        <w:rPr>
          <w:sz w:val="22"/>
          <w:szCs w:val="22"/>
        </w:rPr>
        <w:t>, size</w:t>
      </w:r>
      <w:r w:rsidRPr="00B1075E">
        <w:rPr>
          <w:sz w:val="22"/>
          <w:szCs w:val="22"/>
        </w:rPr>
        <w:t xml:space="preserve"> and amenity of common areas;</w:t>
      </w:r>
    </w:p>
    <w:p w:rsidR="00884D44" w:rsidRDefault="00884D44" w:rsidP="00884D44">
      <w:pPr>
        <w:pStyle w:val="ListParagraph"/>
        <w:numPr>
          <w:ilvl w:val="0"/>
          <w:numId w:val="22"/>
        </w:numPr>
        <w:rPr>
          <w:sz w:val="22"/>
          <w:szCs w:val="22"/>
        </w:rPr>
      </w:pPr>
      <w:r>
        <w:rPr>
          <w:sz w:val="22"/>
          <w:szCs w:val="22"/>
        </w:rPr>
        <w:t>The number of persons who may be provided with accommodation in the rooms</w:t>
      </w:r>
      <w:r w:rsidR="004D0771">
        <w:rPr>
          <w:sz w:val="22"/>
          <w:szCs w:val="22"/>
        </w:rPr>
        <w:t>;</w:t>
      </w:r>
    </w:p>
    <w:p w:rsidR="004D0771" w:rsidRPr="00B1075E" w:rsidRDefault="004D0771" w:rsidP="00884D44">
      <w:pPr>
        <w:pStyle w:val="ListParagraph"/>
        <w:numPr>
          <w:ilvl w:val="0"/>
          <w:numId w:val="22"/>
        </w:numPr>
        <w:rPr>
          <w:sz w:val="22"/>
          <w:szCs w:val="22"/>
        </w:rPr>
      </w:pPr>
      <w:r>
        <w:rPr>
          <w:sz w:val="22"/>
          <w:szCs w:val="22"/>
        </w:rPr>
        <w:t xml:space="preserve">Narrative on whether the room features a shared bathroom or a private </w:t>
      </w:r>
      <w:proofErr w:type="spellStart"/>
      <w:r>
        <w:rPr>
          <w:sz w:val="22"/>
          <w:szCs w:val="22"/>
        </w:rPr>
        <w:t>ensuite</w:t>
      </w:r>
      <w:proofErr w:type="spellEnd"/>
      <w:r>
        <w:rPr>
          <w:sz w:val="22"/>
          <w:szCs w:val="22"/>
        </w:rPr>
        <w:t>;</w:t>
      </w:r>
    </w:p>
    <w:p w:rsidR="00884D44" w:rsidRDefault="00884D44" w:rsidP="00884D44">
      <w:pPr>
        <w:pStyle w:val="ListParagraph"/>
        <w:numPr>
          <w:ilvl w:val="0"/>
          <w:numId w:val="22"/>
        </w:numPr>
        <w:rPr>
          <w:sz w:val="22"/>
          <w:szCs w:val="22"/>
        </w:rPr>
      </w:pPr>
      <w:r w:rsidRPr="00B1075E">
        <w:rPr>
          <w:sz w:val="22"/>
          <w:szCs w:val="22"/>
        </w:rPr>
        <w:t xml:space="preserve">Narrative on specific design or accommodation features, </w:t>
      </w:r>
      <w:r w:rsidR="004D0771">
        <w:rPr>
          <w:sz w:val="22"/>
          <w:szCs w:val="22"/>
        </w:rPr>
        <w:t xml:space="preserve">either of the room or of the service and accessible to an occupant of the room, </w:t>
      </w:r>
      <w:r w:rsidRPr="00B1075E">
        <w:rPr>
          <w:sz w:val="22"/>
          <w:szCs w:val="22"/>
        </w:rPr>
        <w:t>where these are not reflected in costs;</w:t>
      </w:r>
    </w:p>
    <w:p w:rsidR="00884D44" w:rsidRPr="00B1075E" w:rsidRDefault="00884D44" w:rsidP="00884D44">
      <w:pPr>
        <w:pStyle w:val="ListParagraph"/>
        <w:numPr>
          <w:ilvl w:val="0"/>
          <w:numId w:val="22"/>
        </w:numPr>
        <w:rPr>
          <w:sz w:val="22"/>
          <w:szCs w:val="22"/>
        </w:rPr>
      </w:pPr>
      <w:r>
        <w:rPr>
          <w:sz w:val="22"/>
          <w:szCs w:val="22"/>
        </w:rPr>
        <w:t>Narrative on the social and therapeutic environment;</w:t>
      </w:r>
    </w:p>
    <w:p w:rsidR="00884D44" w:rsidRDefault="00884D44" w:rsidP="00884D44">
      <w:pPr>
        <w:pStyle w:val="ListParagraph"/>
        <w:numPr>
          <w:ilvl w:val="0"/>
          <w:numId w:val="22"/>
        </w:numPr>
        <w:rPr>
          <w:sz w:val="22"/>
          <w:szCs w:val="22"/>
        </w:rPr>
      </w:pPr>
      <w:r w:rsidRPr="00B1075E">
        <w:rPr>
          <w:sz w:val="22"/>
          <w:szCs w:val="22"/>
        </w:rPr>
        <w:t xml:space="preserve">Narrative on care and services (other than care and services provided under the Quality of Care Principles) where these are not </w:t>
      </w:r>
      <w:r>
        <w:rPr>
          <w:sz w:val="22"/>
          <w:szCs w:val="22"/>
        </w:rPr>
        <w:t xml:space="preserve">already </w:t>
      </w:r>
      <w:r w:rsidRPr="00B1075E">
        <w:rPr>
          <w:sz w:val="22"/>
          <w:szCs w:val="22"/>
        </w:rPr>
        <w:t>reflected in costs</w:t>
      </w:r>
      <w:r>
        <w:rPr>
          <w:sz w:val="22"/>
          <w:szCs w:val="22"/>
        </w:rPr>
        <w:t>, where they are a factor in accommodation pricing, and are not the subject of an additional care or service fee</w:t>
      </w:r>
      <w:r w:rsidRPr="00B1075E">
        <w:rPr>
          <w:sz w:val="22"/>
          <w:szCs w:val="22"/>
        </w:rPr>
        <w:t>;</w:t>
      </w:r>
    </w:p>
    <w:p w:rsidR="00DB17AD" w:rsidRPr="00B1075E" w:rsidRDefault="00DB17AD" w:rsidP="00884D44">
      <w:pPr>
        <w:pStyle w:val="ListParagraph"/>
        <w:numPr>
          <w:ilvl w:val="0"/>
          <w:numId w:val="22"/>
        </w:numPr>
        <w:rPr>
          <w:sz w:val="22"/>
          <w:szCs w:val="22"/>
        </w:rPr>
      </w:pPr>
      <w:r>
        <w:rPr>
          <w:sz w:val="22"/>
          <w:szCs w:val="22"/>
        </w:rPr>
        <w:t>Particular facilities available to the resident, including ICT</w:t>
      </w:r>
      <w:r w:rsidR="004A16C5">
        <w:rPr>
          <w:sz w:val="22"/>
          <w:szCs w:val="22"/>
        </w:rPr>
        <w:t xml:space="preserve"> and other facilities.</w:t>
      </w:r>
    </w:p>
    <w:p w:rsidR="00884D44" w:rsidRDefault="00884D44" w:rsidP="00884D44">
      <w:pPr>
        <w:rPr>
          <w:sz w:val="22"/>
          <w:szCs w:val="22"/>
        </w:rPr>
      </w:pPr>
    </w:p>
    <w:p w:rsidR="00884D44" w:rsidRPr="00B8456D" w:rsidRDefault="00884D44" w:rsidP="00884D44">
      <w:pPr>
        <w:rPr>
          <w:b/>
          <w:sz w:val="22"/>
          <w:szCs w:val="22"/>
        </w:rPr>
      </w:pPr>
      <w:r w:rsidRPr="00B8456D">
        <w:rPr>
          <w:b/>
          <w:sz w:val="22"/>
          <w:szCs w:val="22"/>
        </w:rPr>
        <w:t xml:space="preserve">Note: It is a requirement that quality, condition and amenity criteria are addressed. </w:t>
      </w:r>
      <w:r>
        <w:rPr>
          <w:b/>
          <w:sz w:val="22"/>
          <w:szCs w:val="22"/>
        </w:rPr>
        <w:t>Where these have not been sufficiently addressed (either at Appendix 1 in the application, or in other sections or an attachment to the application) the applicant must be contacted to supply the relevant information.</w:t>
      </w:r>
    </w:p>
    <w:p w:rsidR="00884D44" w:rsidRDefault="00884D44" w:rsidP="00884D44">
      <w:pPr>
        <w:rPr>
          <w:sz w:val="22"/>
          <w:szCs w:val="22"/>
        </w:rPr>
      </w:pPr>
    </w:p>
    <w:p w:rsidR="00732BB8" w:rsidRDefault="00732BB8" w:rsidP="00732BB8">
      <w:pPr>
        <w:rPr>
          <w:rFonts w:cs="Arial"/>
          <w:sz w:val="22"/>
          <w:szCs w:val="22"/>
        </w:rPr>
      </w:pPr>
      <w:r>
        <w:rPr>
          <w:rFonts w:cs="Arial"/>
          <w:sz w:val="22"/>
          <w:szCs w:val="22"/>
        </w:rPr>
        <w:t>Where additional care and service factors are provided as part of the justification for a proposed price, assessors are to consider these factors against the following criteria:</w:t>
      </w:r>
    </w:p>
    <w:p w:rsidR="00732BB8" w:rsidRDefault="00732BB8" w:rsidP="00732BB8">
      <w:pPr>
        <w:rPr>
          <w:rFonts w:cs="Arial"/>
          <w:sz w:val="22"/>
          <w:szCs w:val="22"/>
        </w:rPr>
      </w:pPr>
    </w:p>
    <w:p w:rsidR="001679ED" w:rsidRDefault="001679ED" w:rsidP="008613AE">
      <w:pPr>
        <w:pStyle w:val="ListParagraph"/>
        <w:numPr>
          <w:ilvl w:val="0"/>
          <w:numId w:val="34"/>
        </w:numPr>
        <w:rPr>
          <w:rFonts w:cs="Arial"/>
          <w:sz w:val="22"/>
          <w:szCs w:val="22"/>
        </w:rPr>
      </w:pPr>
      <w:r>
        <w:rPr>
          <w:rFonts w:cs="Arial"/>
          <w:sz w:val="22"/>
          <w:szCs w:val="22"/>
        </w:rPr>
        <w:t xml:space="preserve">Identify that the care and service factors have been identified by the applicant as additional care and services included in the amount of the accommodation payment at Table A.2 (v), and not additional care and services that are </w:t>
      </w:r>
      <w:r>
        <w:rPr>
          <w:rFonts w:cs="Arial"/>
          <w:sz w:val="22"/>
          <w:szCs w:val="22"/>
          <w:u w:val="single"/>
        </w:rPr>
        <w:t>not</w:t>
      </w:r>
      <w:r>
        <w:rPr>
          <w:rFonts w:cs="Arial"/>
          <w:sz w:val="22"/>
          <w:szCs w:val="22"/>
        </w:rPr>
        <w:t xml:space="preserve"> included in the proposed accommodation price at Table 1 (ii) (4).</w:t>
      </w:r>
    </w:p>
    <w:p w:rsidR="001679ED" w:rsidRPr="001679ED" w:rsidRDefault="001679ED" w:rsidP="001679ED">
      <w:pPr>
        <w:ind w:left="360"/>
        <w:rPr>
          <w:rFonts w:cs="Arial"/>
          <w:sz w:val="22"/>
          <w:szCs w:val="22"/>
        </w:rPr>
      </w:pPr>
    </w:p>
    <w:p w:rsidR="00732BB8" w:rsidRPr="008613AE" w:rsidRDefault="00732BB8" w:rsidP="008613AE">
      <w:pPr>
        <w:pStyle w:val="ListParagraph"/>
        <w:numPr>
          <w:ilvl w:val="0"/>
          <w:numId w:val="34"/>
        </w:numPr>
        <w:rPr>
          <w:rFonts w:cs="Arial"/>
          <w:sz w:val="22"/>
          <w:szCs w:val="22"/>
        </w:rPr>
      </w:pPr>
      <w:r w:rsidRPr="008613AE">
        <w:rPr>
          <w:rFonts w:cs="Arial"/>
          <w:sz w:val="22"/>
          <w:szCs w:val="22"/>
        </w:rPr>
        <w:lastRenderedPageBreak/>
        <w:t>Check that the care and services described are not included or specifically exceed the standard described in Specified Care and Services Schedule;</w:t>
      </w:r>
    </w:p>
    <w:p w:rsidR="00732BB8" w:rsidRDefault="00732BB8" w:rsidP="00732BB8">
      <w:pPr>
        <w:rPr>
          <w:rFonts w:cs="Arial"/>
          <w:sz w:val="22"/>
          <w:szCs w:val="22"/>
        </w:rPr>
      </w:pPr>
    </w:p>
    <w:p w:rsidR="00732BB8" w:rsidRPr="008613AE" w:rsidRDefault="00732BB8" w:rsidP="008613AE">
      <w:pPr>
        <w:pStyle w:val="ListParagraph"/>
        <w:numPr>
          <w:ilvl w:val="0"/>
          <w:numId w:val="34"/>
        </w:numPr>
        <w:rPr>
          <w:rFonts w:cs="Arial"/>
          <w:sz w:val="22"/>
          <w:szCs w:val="22"/>
        </w:rPr>
      </w:pPr>
      <w:r w:rsidRPr="008613AE">
        <w:rPr>
          <w:rFonts w:cs="Arial"/>
          <w:sz w:val="22"/>
          <w:szCs w:val="22"/>
        </w:rPr>
        <w:t xml:space="preserve">Ensure that where additional value is attributed to these factors and where the care or service is a care or service referred to in Appendix – Specified Care and Services Schedule, this value is incremental only, and does not describe the </w:t>
      </w:r>
      <w:r w:rsidRPr="008613AE">
        <w:rPr>
          <w:rFonts w:cs="Arial"/>
          <w:sz w:val="22"/>
          <w:szCs w:val="22"/>
          <w:u w:val="single"/>
        </w:rPr>
        <w:t>whole</w:t>
      </w:r>
      <w:r w:rsidRPr="008613AE">
        <w:rPr>
          <w:rFonts w:cs="Arial"/>
          <w:sz w:val="22"/>
          <w:szCs w:val="22"/>
        </w:rPr>
        <w:t xml:space="preserve"> cost of providing the care or service. By way of example, in the case of expanded menu choices, the cost or value ascribed should be the additional cost of providing the expanded menu, not the total cost of supplying meals;</w:t>
      </w:r>
    </w:p>
    <w:p w:rsidR="00884D44" w:rsidRDefault="00884D44" w:rsidP="00884D44">
      <w:pPr>
        <w:rPr>
          <w:sz w:val="22"/>
          <w:szCs w:val="22"/>
        </w:rPr>
      </w:pPr>
    </w:p>
    <w:p w:rsidR="00884D44" w:rsidRPr="008613AE" w:rsidRDefault="00884D44" w:rsidP="008613AE">
      <w:pPr>
        <w:pStyle w:val="ListParagraph"/>
        <w:numPr>
          <w:ilvl w:val="0"/>
          <w:numId w:val="34"/>
        </w:numPr>
        <w:rPr>
          <w:sz w:val="22"/>
          <w:szCs w:val="22"/>
        </w:rPr>
      </w:pPr>
      <w:r w:rsidRPr="008613AE">
        <w:rPr>
          <w:sz w:val="22"/>
          <w:szCs w:val="22"/>
        </w:rPr>
        <w:t>Check that the factors identified have not already been captured in the cost components.</w:t>
      </w:r>
    </w:p>
    <w:p w:rsidR="00884D44" w:rsidRDefault="00884D44" w:rsidP="00884D44">
      <w:pPr>
        <w:rPr>
          <w:sz w:val="22"/>
          <w:szCs w:val="22"/>
        </w:rPr>
      </w:pPr>
    </w:p>
    <w:p w:rsidR="00884D44" w:rsidRPr="008613AE" w:rsidRDefault="00884D44" w:rsidP="008613AE">
      <w:pPr>
        <w:pStyle w:val="ListParagraph"/>
        <w:numPr>
          <w:ilvl w:val="0"/>
          <w:numId w:val="34"/>
        </w:numPr>
        <w:rPr>
          <w:sz w:val="22"/>
          <w:szCs w:val="22"/>
        </w:rPr>
      </w:pPr>
      <w:r w:rsidRPr="008613AE">
        <w:rPr>
          <w:sz w:val="22"/>
          <w:szCs w:val="22"/>
        </w:rPr>
        <w:t>Review the explanation and documentary evidence demonstrating that these factors have value to the resident and confirm that sufficient explanation and evidence</w:t>
      </w:r>
      <w:r w:rsidR="009F15E2" w:rsidRPr="008613AE">
        <w:rPr>
          <w:sz w:val="22"/>
          <w:szCs w:val="22"/>
        </w:rPr>
        <w:t>, including a description of the particular care and services,</w:t>
      </w:r>
      <w:r w:rsidRPr="008613AE">
        <w:rPr>
          <w:sz w:val="22"/>
          <w:szCs w:val="22"/>
        </w:rPr>
        <w:t xml:space="preserve"> has been presented.</w:t>
      </w:r>
    </w:p>
    <w:p w:rsidR="0086178B" w:rsidRDefault="0086178B" w:rsidP="00884D44">
      <w:pPr>
        <w:rPr>
          <w:sz w:val="22"/>
          <w:szCs w:val="22"/>
        </w:rPr>
      </w:pPr>
    </w:p>
    <w:p w:rsidR="00BF1F70" w:rsidRDefault="00BF1F70" w:rsidP="0027091B">
      <w:pPr>
        <w:pStyle w:val="Heading3"/>
      </w:pPr>
      <w:bookmarkStart w:id="36" w:name="_Toc380153550"/>
      <w:bookmarkStart w:id="37" w:name="_Toc377471361"/>
      <w:r>
        <w:t>Assessment of information to justify a proposed price</w:t>
      </w:r>
      <w:bookmarkEnd w:id="36"/>
    </w:p>
    <w:p w:rsidR="00BF1F70" w:rsidRDefault="00BF1F70" w:rsidP="00562E29">
      <w:pPr>
        <w:pStyle w:val="Heading3"/>
      </w:pPr>
    </w:p>
    <w:p w:rsidR="00884D44" w:rsidRDefault="00556487" w:rsidP="00562E29">
      <w:pPr>
        <w:pStyle w:val="Heading4"/>
      </w:pPr>
      <w:r>
        <w:t>Step 13</w:t>
      </w:r>
      <w:r w:rsidR="00884D44">
        <w:t xml:space="preserve">: Assessment of information to justify a </w:t>
      </w:r>
      <w:bookmarkEnd w:id="37"/>
      <w:r w:rsidR="00D65313">
        <w:t>proposed price</w:t>
      </w:r>
    </w:p>
    <w:p w:rsidR="00884D44" w:rsidRPr="00AF7209" w:rsidRDefault="00884D44" w:rsidP="00884D44">
      <w:pPr>
        <w:rPr>
          <w:sz w:val="22"/>
          <w:szCs w:val="22"/>
        </w:rPr>
      </w:pPr>
    </w:p>
    <w:p w:rsidR="00884D44" w:rsidRPr="00AF7209" w:rsidRDefault="00556487" w:rsidP="00884D44">
      <w:pPr>
        <w:rPr>
          <w:sz w:val="22"/>
          <w:szCs w:val="22"/>
        </w:rPr>
      </w:pPr>
      <w:r>
        <w:rPr>
          <w:sz w:val="22"/>
          <w:szCs w:val="22"/>
        </w:rPr>
        <w:t>At Step 13</w:t>
      </w:r>
      <w:r w:rsidR="00884D44" w:rsidRPr="00AF7209">
        <w:rPr>
          <w:sz w:val="22"/>
          <w:szCs w:val="22"/>
        </w:rPr>
        <w:t xml:space="preserve">, the assessor is to </w:t>
      </w:r>
      <w:r w:rsidR="00884D44">
        <w:rPr>
          <w:sz w:val="22"/>
          <w:szCs w:val="22"/>
        </w:rPr>
        <w:t>revi</w:t>
      </w:r>
      <w:r>
        <w:rPr>
          <w:sz w:val="22"/>
          <w:szCs w:val="22"/>
        </w:rPr>
        <w:t>ew factors identified at Step</w:t>
      </w:r>
      <w:r w:rsidR="00BF1F70">
        <w:rPr>
          <w:sz w:val="22"/>
          <w:szCs w:val="22"/>
        </w:rPr>
        <w:t>s 11</w:t>
      </w:r>
      <w:r w:rsidR="00B06020">
        <w:rPr>
          <w:sz w:val="22"/>
          <w:szCs w:val="22"/>
        </w:rPr>
        <w:t xml:space="preserve"> and</w:t>
      </w:r>
      <w:r>
        <w:rPr>
          <w:sz w:val="22"/>
          <w:szCs w:val="22"/>
        </w:rPr>
        <w:t xml:space="preserve"> 12</w:t>
      </w:r>
      <w:r w:rsidR="00B06020">
        <w:rPr>
          <w:sz w:val="22"/>
          <w:szCs w:val="22"/>
        </w:rPr>
        <w:t xml:space="preserve"> </w:t>
      </w:r>
      <w:r w:rsidR="00884D44">
        <w:rPr>
          <w:sz w:val="22"/>
          <w:szCs w:val="22"/>
        </w:rPr>
        <w:t>in the context of their justification for a proposed price.</w:t>
      </w:r>
    </w:p>
    <w:p w:rsidR="00884D44" w:rsidRPr="00AF7209" w:rsidRDefault="00884D44" w:rsidP="00884D44">
      <w:pPr>
        <w:rPr>
          <w:sz w:val="22"/>
          <w:szCs w:val="22"/>
        </w:rPr>
      </w:pPr>
    </w:p>
    <w:p w:rsidR="00453216" w:rsidRDefault="00453216" w:rsidP="00453216">
      <w:pPr>
        <w:rPr>
          <w:sz w:val="22"/>
          <w:szCs w:val="22"/>
        </w:rPr>
      </w:pPr>
      <w:r w:rsidRPr="00AF7209">
        <w:rPr>
          <w:sz w:val="22"/>
          <w:szCs w:val="22"/>
        </w:rPr>
        <w:t>The assess</w:t>
      </w:r>
      <w:r>
        <w:rPr>
          <w:sz w:val="22"/>
          <w:szCs w:val="22"/>
        </w:rPr>
        <w:t xml:space="preserve">ment </w:t>
      </w:r>
      <w:r w:rsidRPr="00AF7209">
        <w:rPr>
          <w:sz w:val="22"/>
          <w:szCs w:val="22"/>
        </w:rPr>
        <w:t xml:space="preserve">of </w:t>
      </w:r>
      <w:r>
        <w:rPr>
          <w:sz w:val="22"/>
          <w:szCs w:val="22"/>
        </w:rPr>
        <w:t>the</w:t>
      </w:r>
      <w:r w:rsidRPr="00AF7209">
        <w:rPr>
          <w:sz w:val="22"/>
          <w:szCs w:val="22"/>
        </w:rPr>
        <w:t xml:space="preserve"> </w:t>
      </w:r>
      <w:r>
        <w:rPr>
          <w:sz w:val="22"/>
          <w:szCs w:val="22"/>
        </w:rPr>
        <w:t>factors identified at Step 12 should give consideration to their significance in justifying the proposed price and the perceived level of benefit to the resident. These factors may arise from the particular business model of the applicant, the quality, condition, size and amenity of the rooms and common areas, the particular needs of residents or any other relevant factor identified.</w:t>
      </w:r>
    </w:p>
    <w:p w:rsidR="00D65313" w:rsidRDefault="00D65313" w:rsidP="00884D44">
      <w:pPr>
        <w:rPr>
          <w:sz w:val="22"/>
          <w:szCs w:val="22"/>
        </w:rPr>
      </w:pPr>
    </w:p>
    <w:p w:rsidR="00D65313" w:rsidRDefault="00D65313" w:rsidP="00884D44">
      <w:pPr>
        <w:rPr>
          <w:sz w:val="22"/>
          <w:szCs w:val="22"/>
        </w:rPr>
      </w:pPr>
      <w:r>
        <w:rPr>
          <w:sz w:val="22"/>
          <w:szCs w:val="22"/>
        </w:rPr>
        <w:t xml:space="preserve">At this step, the assessor should consider factors </w:t>
      </w:r>
      <w:proofErr w:type="gramStart"/>
      <w:r>
        <w:rPr>
          <w:sz w:val="22"/>
          <w:szCs w:val="22"/>
        </w:rPr>
        <w:t>separately</w:t>
      </w:r>
      <w:r w:rsidR="00190BDA">
        <w:rPr>
          <w:sz w:val="22"/>
          <w:szCs w:val="22"/>
        </w:rPr>
        <w:t>,</w:t>
      </w:r>
      <w:proofErr w:type="gramEnd"/>
      <w:r>
        <w:rPr>
          <w:sz w:val="22"/>
          <w:szCs w:val="22"/>
        </w:rPr>
        <w:t xml:space="preserve"> and c</w:t>
      </w:r>
      <w:r w:rsidR="00190BDA">
        <w:rPr>
          <w:sz w:val="22"/>
          <w:szCs w:val="22"/>
        </w:rPr>
        <w:t>ollectively for the purpose of Step 14</w:t>
      </w:r>
      <w:r>
        <w:rPr>
          <w:sz w:val="22"/>
          <w:szCs w:val="22"/>
        </w:rPr>
        <w:t>.</w:t>
      </w:r>
    </w:p>
    <w:p w:rsidR="006F661E" w:rsidRDefault="006F661E" w:rsidP="00884D44">
      <w:pPr>
        <w:rPr>
          <w:sz w:val="22"/>
          <w:szCs w:val="22"/>
        </w:rPr>
      </w:pPr>
    </w:p>
    <w:p w:rsidR="006F661E" w:rsidRDefault="006F661E" w:rsidP="00884D44">
      <w:pPr>
        <w:rPr>
          <w:sz w:val="22"/>
          <w:szCs w:val="22"/>
        </w:rPr>
      </w:pPr>
      <w:r>
        <w:rPr>
          <w:sz w:val="22"/>
          <w:szCs w:val="22"/>
        </w:rPr>
        <w:t>The</w:t>
      </w:r>
      <w:r w:rsidR="00E90965">
        <w:rPr>
          <w:sz w:val="22"/>
          <w:szCs w:val="22"/>
        </w:rPr>
        <w:t xml:space="preserve"> assessor’s conclusion at Step 7, and Step 8</w:t>
      </w:r>
      <w:r>
        <w:rPr>
          <w:sz w:val="22"/>
          <w:szCs w:val="22"/>
        </w:rPr>
        <w:t xml:space="preserve"> if relevant, is to be considered among these collective factors. </w:t>
      </w:r>
    </w:p>
    <w:p w:rsidR="00D65313" w:rsidRDefault="00D65313" w:rsidP="00884D44">
      <w:pPr>
        <w:rPr>
          <w:sz w:val="22"/>
          <w:szCs w:val="22"/>
        </w:rPr>
      </w:pPr>
    </w:p>
    <w:p w:rsidR="00884D44" w:rsidRDefault="00884D44" w:rsidP="0027091B">
      <w:pPr>
        <w:pStyle w:val="Heading3"/>
      </w:pPr>
      <w:bookmarkStart w:id="38" w:name="_Toc377471362"/>
      <w:bookmarkStart w:id="39" w:name="_Toc380153551"/>
      <w:r>
        <w:t>Assessment outcome</w:t>
      </w:r>
      <w:bookmarkEnd w:id="38"/>
      <w:bookmarkEnd w:id="39"/>
    </w:p>
    <w:p w:rsidR="00884D44" w:rsidRDefault="00884D44" w:rsidP="00884D44"/>
    <w:p w:rsidR="00884D44" w:rsidRDefault="0086178B" w:rsidP="00562E29">
      <w:pPr>
        <w:pStyle w:val="Heading4"/>
      </w:pPr>
      <w:bookmarkStart w:id="40" w:name="_Toc377471363"/>
      <w:r>
        <w:t>Step 14</w:t>
      </w:r>
      <w:r w:rsidR="00884D44">
        <w:t>: Producing an assessment outcome</w:t>
      </w:r>
      <w:bookmarkEnd w:id="40"/>
      <w:r w:rsidR="00884D44">
        <w:tab/>
      </w:r>
    </w:p>
    <w:p w:rsidR="00884D44" w:rsidRDefault="00884D44" w:rsidP="00884D44"/>
    <w:p w:rsidR="00E80147" w:rsidRDefault="00E80147" w:rsidP="00E80147">
      <w:pPr>
        <w:rPr>
          <w:sz w:val="22"/>
          <w:szCs w:val="22"/>
        </w:rPr>
      </w:pPr>
      <w:r>
        <w:rPr>
          <w:sz w:val="22"/>
          <w:szCs w:val="22"/>
        </w:rPr>
        <w:t>T</w:t>
      </w:r>
      <w:r w:rsidRPr="00AF7209">
        <w:rPr>
          <w:sz w:val="22"/>
          <w:szCs w:val="22"/>
        </w:rPr>
        <w:t xml:space="preserve">he assessor is to produce an assessment outcome informed by the </w:t>
      </w:r>
      <w:r w:rsidR="008363A1">
        <w:rPr>
          <w:sz w:val="22"/>
          <w:szCs w:val="22"/>
        </w:rPr>
        <w:t>criteria identified below.</w:t>
      </w:r>
    </w:p>
    <w:p w:rsidR="00D51F56" w:rsidRPr="00AF7209" w:rsidRDefault="00D51F56" w:rsidP="00E80147">
      <w:pPr>
        <w:rPr>
          <w:sz w:val="22"/>
          <w:szCs w:val="22"/>
        </w:rPr>
      </w:pPr>
    </w:p>
    <w:p w:rsidR="00E80147" w:rsidRDefault="008363A1" w:rsidP="00E80147">
      <w:pPr>
        <w:rPr>
          <w:sz w:val="22"/>
          <w:szCs w:val="22"/>
        </w:rPr>
      </w:pPr>
      <w:r>
        <w:rPr>
          <w:sz w:val="22"/>
          <w:szCs w:val="22"/>
        </w:rPr>
        <w:t>The assessor is to consider whether:</w:t>
      </w:r>
    </w:p>
    <w:p w:rsidR="008363A1" w:rsidRDefault="008363A1" w:rsidP="00E80147">
      <w:pPr>
        <w:rPr>
          <w:sz w:val="22"/>
          <w:szCs w:val="22"/>
        </w:rPr>
      </w:pPr>
    </w:p>
    <w:p w:rsidR="008363A1" w:rsidRPr="008363A1" w:rsidRDefault="008363A1" w:rsidP="008363A1">
      <w:pPr>
        <w:pStyle w:val="ListParagraph"/>
        <w:numPr>
          <w:ilvl w:val="0"/>
          <w:numId w:val="33"/>
        </w:numPr>
        <w:rPr>
          <w:sz w:val="22"/>
          <w:szCs w:val="22"/>
        </w:rPr>
      </w:pPr>
      <w:r w:rsidRPr="008363A1">
        <w:rPr>
          <w:sz w:val="22"/>
          <w:szCs w:val="22"/>
        </w:rPr>
        <w:t>There is a satisfactory level of evidence of costs;</w:t>
      </w:r>
    </w:p>
    <w:p w:rsidR="008363A1" w:rsidRPr="008363A1" w:rsidRDefault="008363A1" w:rsidP="008363A1">
      <w:pPr>
        <w:pStyle w:val="ListParagraph"/>
        <w:numPr>
          <w:ilvl w:val="0"/>
          <w:numId w:val="33"/>
        </w:numPr>
        <w:rPr>
          <w:sz w:val="22"/>
          <w:szCs w:val="22"/>
        </w:rPr>
      </w:pPr>
      <w:r w:rsidRPr="008363A1">
        <w:rPr>
          <w:sz w:val="22"/>
          <w:szCs w:val="22"/>
        </w:rPr>
        <w:t xml:space="preserve">There is a satisfactory level of explanation of the business model and other </w:t>
      </w:r>
      <w:r>
        <w:rPr>
          <w:sz w:val="22"/>
          <w:szCs w:val="22"/>
        </w:rPr>
        <w:t xml:space="preserve">factors in the provision of accommodation </w:t>
      </w:r>
      <w:r w:rsidRPr="008363A1">
        <w:rPr>
          <w:sz w:val="22"/>
          <w:szCs w:val="22"/>
        </w:rPr>
        <w:t>that have relevance to the proposed price, and evidence in support of these contentions</w:t>
      </w:r>
      <w:r w:rsidR="009F15E2">
        <w:rPr>
          <w:sz w:val="22"/>
          <w:szCs w:val="22"/>
        </w:rPr>
        <w:t>. The assessor’s consideration is also to include comparison to benchmarks identified at Steps 7 and 8, were these benchmarks are judged to have utility</w:t>
      </w:r>
      <w:r w:rsidRPr="008363A1">
        <w:rPr>
          <w:sz w:val="22"/>
          <w:szCs w:val="22"/>
        </w:rPr>
        <w:t>;</w:t>
      </w:r>
    </w:p>
    <w:p w:rsidR="008363A1" w:rsidRPr="008363A1" w:rsidRDefault="008363A1" w:rsidP="008363A1">
      <w:pPr>
        <w:pStyle w:val="ListParagraph"/>
        <w:numPr>
          <w:ilvl w:val="0"/>
          <w:numId w:val="33"/>
        </w:numPr>
        <w:rPr>
          <w:sz w:val="22"/>
          <w:szCs w:val="22"/>
        </w:rPr>
      </w:pPr>
      <w:r w:rsidRPr="008363A1">
        <w:rPr>
          <w:sz w:val="22"/>
          <w:szCs w:val="22"/>
        </w:rPr>
        <w:lastRenderedPageBreak/>
        <w:t>There is a satisfactory level of evidence that supports a significant level of quality, condition and amenity of the accommodation</w:t>
      </w:r>
      <w:r>
        <w:rPr>
          <w:sz w:val="22"/>
          <w:szCs w:val="22"/>
        </w:rPr>
        <w:t xml:space="preserve"> and any related features such as common areas and facilities</w:t>
      </w:r>
      <w:r w:rsidRPr="008363A1">
        <w:rPr>
          <w:sz w:val="22"/>
          <w:szCs w:val="22"/>
        </w:rPr>
        <w:t xml:space="preserve"> in the context of the proposed price.</w:t>
      </w:r>
    </w:p>
    <w:p w:rsidR="00E80147" w:rsidRDefault="00E80147" w:rsidP="00E80147">
      <w:pPr>
        <w:rPr>
          <w:sz w:val="22"/>
          <w:szCs w:val="22"/>
        </w:rPr>
      </w:pPr>
    </w:p>
    <w:p w:rsidR="00E80147" w:rsidRPr="00AF7209" w:rsidRDefault="00E80147" w:rsidP="00E80147">
      <w:pPr>
        <w:rPr>
          <w:sz w:val="22"/>
          <w:szCs w:val="22"/>
        </w:rPr>
      </w:pPr>
      <w:r>
        <w:rPr>
          <w:sz w:val="22"/>
          <w:szCs w:val="22"/>
        </w:rPr>
        <w:t xml:space="preserve">Where applicants are applying for multiple accommodation groups, a recommendation is to be made for each accommodation group. </w:t>
      </w:r>
    </w:p>
    <w:p w:rsidR="00884D44" w:rsidRDefault="00884D44" w:rsidP="00884D44"/>
    <w:p w:rsidR="00884D44" w:rsidRPr="00AF7209" w:rsidRDefault="0086178B" w:rsidP="00562E29">
      <w:pPr>
        <w:pStyle w:val="Heading4"/>
      </w:pPr>
      <w:bookmarkStart w:id="41" w:name="_Toc377471364"/>
      <w:r>
        <w:t>Step 15</w:t>
      </w:r>
      <w:r w:rsidR="00884D44">
        <w:t>: Peer review</w:t>
      </w:r>
      <w:bookmarkEnd w:id="41"/>
    </w:p>
    <w:p w:rsidR="00884D44" w:rsidRDefault="00884D44" w:rsidP="00884D44"/>
    <w:p w:rsidR="00556487" w:rsidRDefault="00556487" w:rsidP="00884D44">
      <w:pPr>
        <w:rPr>
          <w:sz w:val="22"/>
          <w:szCs w:val="22"/>
        </w:rPr>
      </w:pPr>
      <w:r>
        <w:rPr>
          <w:sz w:val="22"/>
          <w:szCs w:val="22"/>
        </w:rPr>
        <w:t>Prior to submitting a report and recommendations to the Commissioner, a peer review of the assessor’s report is to be undertaken by another assessor.</w:t>
      </w:r>
    </w:p>
    <w:p w:rsidR="00556487" w:rsidRDefault="00556487" w:rsidP="00884D44">
      <w:pPr>
        <w:rPr>
          <w:sz w:val="22"/>
          <w:szCs w:val="22"/>
        </w:rPr>
      </w:pPr>
    </w:p>
    <w:p w:rsidR="00556487" w:rsidRDefault="00556487" w:rsidP="00884D44">
      <w:pPr>
        <w:rPr>
          <w:sz w:val="22"/>
          <w:szCs w:val="22"/>
        </w:rPr>
      </w:pPr>
      <w:r>
        <w:rPr>
          <w:sz w:val="22"/>
          <w:szCs w:val="22"/>
        </w:rPr>
        <w:t xml:space="preserve">In the </w:t>
      </w:r>
      <w:r w:rsidR="0086178B">
        <w:rPr>
          <w:sz w:val="22"/>
          <w:szCs w:val="22"/>
        </w:rPr>
        <w:t>case of a report including a recommendation for approval, a limited high level review will be undertaken. This should be undertaken within 24 hours.</w:t>
      </w:r>
    </w:p>
    <w:p w:rsidR="00556487" w:rsidRDefault="00556487" w:rsidP="00884D44">
      <w:pPr>
        <w:rPr>
          <w:sz w:val="22"/>
          <w:szCs w:val="22"/>
        </w:rPr>
      </w:pPr>
    </w:p>
    <w:p w:rsidR="00884D44" w:rsidRDefault="00884D44" w:rsidP="00884D44">
      <w:pPr>
        <w:rPr>
          <w:sz w:val="22"/>
          <w:szCs w:val="22"/>
        </w:rPr>
      </w:pPr>
      <w:r w:rsidRPr="00AF7209">
        <w:rPr>
          <w:sz w:val="22"/>
          <w:szCs w:val="22"/>
        </w:rPr>
        <w:t xml:space="preserve">Before submitting </w:t>
      </w:r>
      <w:r w:rsidR="00556487">
        <w:rPr>
          <w:sz w:val="22"/>
          <w:szCs w:val="22"/>
        </w:rPr>
        <w:t>a report</w:t>
      </w:r>
      <w:r w:rsidRPr="00AF7209">
        <w:rPr>
          <w:sz w:val="22"/>
          <w:szCs w:val="22"/>
        </w:rPr>
        <w:t xml:space="preserve"> including a recommendation</w:t>
      </w:r>
      <w:r w:rsidR="008E6C4D">
        <w:rPr>
          <w:sz w:val="22"/>
          <w:szCs w:val="22"/>
        </w:rPr>
        <w:t xml:space="preserve"> for refusal</w:t>
      </w:r>
      <w:r w:rsidRPr="00AF7209">
        <w:rPr>
          <w:sz w:val="22"/>
          <w:szCs w:val="22"/>
        </w:rPr>
        <w:t xml:space="preserve"> to the Commissioner, another assessor from the Assessment Team (the reviewing assessor) will conduct a </w:t>
      </w:r>
      <w:r w:rsidR="0086178B">
        <w:rPr>
          <w:sz w:val="22"/>
          <w:szCs w:val="22"/>
        </w:rPr>
        <w:t xml:space="preserve">more </w:t>
      </w:r>
      <w:r w:rsidR="008E6C4D">
        <w:rPr>
          <w:sz w:val="22"/>
          <w:szCs w:val="22"/>
        </w:rPr>
        <w:t>detailed</w:t>
      </w:r>
      <w:r>
        <w:rPr>
          <w:sz w:val="22"/>
          <w:szCs w:val="22"/>
        </w:rPr>
        <w:t xml:space="preserve"> </w:t>
      </w:r>
      <w:r w:rsidRPr="00AF7209">
        <w:rPr>
          <w:sz w:val="22"/>
          <w:szCs w:val="22"/>
        </w:rPr>
        <w:t>review, including any material presented as part of the application and any information available to the Commission</w:t>
      </w:r>
      <w:r w:rsidR="008E6C4D">
        <w:rPr>
          <w:sz w:val="22"/>
          <w:szCs w:val="22"/>
        </w:rPr>
        <w:t>er</w:t>
      </w:r>
      <w:r w:rsidRPr="00AF7209">
        <w:rPr>
          <w:sz w:val="22"/>
          <w:szCs w:val="22"/>
        </w:rPr>
        <w:t xml:space="preserve">. </w:t>
      </w:r>
      <w:r w:rsidR="008E6C4D">
        <w:rPr>
          <w:sz w:val="22"/>
          <w:szCs w:val="22"/>
        </w:rPr>
        <w:t>If a more detailed review is undertaken, this should be completed within 48 hours.</w:t>
      </w:r>
    </w:p>
    <w:p w:rsidR="00884D44" w:rsidRDefault="00884D44" w:rsidP="00884D44">
      <w:pPr>
        <w:rPr>
          <w:sz w:val="22"/>
          <w:szCs w:val="22"/>
        </w:rPr>
      </w:pPr>
    </w:p>
    <w:p w:rsidR="00884D44" w:rsidRPr="00AF7209" w:rsidRDefault="00884D44" w:rsidP="00884D44">
      <w:pPr>
        <w:rPr>
          <w:sz w:val="22"/>
          <w:szCs w:val="22"/>
        </w:rPr>
      </w:pPr>
      <w:r w:rsidRPr="00AF7209">
        <w:rPr>
          <w:sz w:val="22"/>
          <w:szCs w:val="22"/>
        </w:rPr>
        <w:t>The reviewing assessor may:</w:t>
      </w:r>
    </w:p>
    <w:p w:rsidR="00884D44" w:rsidRPr="00AF7209" w:rsidRDefault="008E6C4D" w:rsidP="00884D44">
      <w:pPr>
        <w:pStyle w:val="ListParagraph"/>
        <w:numPr>
          <w:ilvl w:val="0"/>
          <w:numId w:val="23"/>
        </w:numPr>
        <w:rPr>
          <w:sz w:val="22"/>
          <w:szCs w:val="22"/>
        </w:rPr>
      </w:pPr>
      <w:r>
        <w:rPr>
          <w:sz w:val="22"/>
          <w:szCs w:val="22"/>
        </w:rPr>
        <w:t>Agree with the recommendation</w:t>
      </w:r>
      <w:r w:rsidR="00884D44" w:rsidRPr="00AF7209">
        <w:rPr>
          <w:sz w:val="22"/>
          <w:szCs w:val="22"/>
        </w:rPr>
        <w:t>; or</w:t>
      </w:r>
    </w:p>
    <w:p w:rsidR="00884D44" w:rsidRPr="00AF7209" w:rsidRDefault="009F15E2" w:rsidP="00884D44">
      <w:pPr>
        <w:pStyle w:val="ListParagraph"/>
        <w:numPr>
          <w:ilvl w:val="0"/>
          <w:numId w:val="23"/>
        </w:numPr>
        <w:rPr>
          <w:sz w:val="22"/>
          <w:szCs w:val="22"/>
        </w:rPr>
      </w:pPr>
      <w:r>
        <w:rPr>
          <w:sz w:val="22"/>
          <w:szCs w:val="22"/>
        </w:rPr>
        <w:t>Make an alternative recommendation</w:t>
      </w:r>
      <w:r w:rsidR="00884D44" w:rsidRPr="00AF7209">
        <w:rPr>
          <w:sz w:val="22"/>
          <w:szCs w:val="22"/>
        </w:rPr>
        <w:t>.</w:t>
      </w:r>
    </w:p>
    <w:p w:rsidR="00884D44" w:rsidRDefault="00884D44" w:rsidP="00884D44">
      <w:pPr>
        <w:rPr>
          <w:sz w:val="22"/>
          <w:szCs w:val="22"/>
        </w:rPr>
      </w:pPr>
    </w:p>
    <w:p w:rsidR="00884D44" w:rsidRDefault="00884D44" w:rsidP="00884D44">
      <w:pPr>
        <w:rPr>
          <w:rFonts w:cs="Arial"/>
          <w:sz w:val="22"/>
          <w:szCs w:val="22"/>
        </w:rPr>
      </w:pPr>
      <w:r>
        <w:rPr>
          <w:rFonts w:cs="Arial"/>
          <w:sz w:val="22"/>
          <w:szCs w:val="22"/>
        </w:rPr>
        <w:t>Where the reviewing assessor’s</w:t>
      </w:r>
      <w:r w:rsidRPr="00671EB0">
        <w:rPr>
          <w:rFonts w:cs="Arial"/>
          <w:sz w:val="22"/>
          <w:szCs w:val="22"/>
        </w:rPr>
        <w:t xml:space="preserve"> recommendation is in accordance with the first assessor’s recommendation, </w:t>
      </w:r>
      <w:r>
        <w:rPr>
          <w:rFonts w:cs="Arial"/>
          <w:sz w:val="22"/>
          <w:szCs w:val="22"/>
        </w:rPr>
        <w:t xml:space="preserve">the reviewing assessor is to </w:t>
      </w:r>
      <w:r w:rsidRPr="00671EB0">
        <w:rPr>
          <w:rFonts w:cs="Arial"/>
          <w:sz w:val="22"/>
          <w:szCs w:val="22"/>
        </w:rPr>
        <w:t xml:space="preserve">provide a brief statement in the terms described at </w:t>
      </w:r>
      <w:r>
        <w:rPr>
          <w:rFonts w:cs="Arial"/>
          <w:sz w:val="22"/>
          <w:szCs w:val="22"/>
        </w:rPr>
        <w:t>Step 16</w:t>
      </w:r>
      <w:r w:rsidRPr="00671EB0">
        <w:rPr>
          <w:rFonts w:cs="Arial"/>
          <w:sz w:val="22"/>
          <w:szCs w:val="22"/>
        </w:rPr>
        <w:t xml:space="preserve">. </w:t>
      </w:r>
    </w:p>
    <w:p w:rsidR="00884D44" w:rsidRDefault="00884D44" w:rsidP="00884D44">
      <w:pPr>
        <w:rPr>
          <w:sz w:val="22"/>
          <w:szCs w:val="22"/>
        </w:rPr>
      </w:pPr>
    </w:p>
    <w:p w:rsidR="00884D44" w:rsidRPr="00671EB0" w:rsidRDefault="00884D44" w:rsidP="00884D44">
      <w:pPr>
        <w:rPr>
          <w:sz w:val="22"/>
          <w:szCs w:val="22"/>
        </w:rPr>
      </w:pPr>
      <w:r w:rsidRPr="00671EB0">
        <w:rPr>
          <w:rFonts w:cs="Arial"/>
          <w:sz w:val="22"/>
          <w:szCs w:val="22"/>
        </w:rPr>
        <w:t>Where the recommendation is a different recommendation to that of the first assessor, the reviewing assessor will explicitly identify factors of difference, and explain how those factors lead to a different assessment outcome</w:t>
      </w:r>
      <w:r>
        <w:rPr>
          <w:rFonts w:cs="Arial"/>
          <w:sz w:val="22"/>
          <w:szCs w:val="22"/>
        </w:rPr>
        <w:t xml:space="preserve"> in their view</w:t>
      </w:r>
      <w:r w:rsidRPr="00671EB0">
        <w:rPr>
          <w:rFonts w:cs="Arial"/>
          <w:sz w:val="22"/>
          <w:szCs w:val="22"/>
        </w:rPr>
        <w:t xml:space="preserve"> i</w:t>
      </w:r>
      <w:r w:rsidR="008E6C4D">
        <w:rPr>
          <w:rFonts w:cs="Arial"/>
          <w:sz w:val="22"/>
          <w:szCs w:val="22"/>
        </w:rPr>
        <w:t>n the terms described at Step 15</w:t>
      </w:r>
      <w:r w:rsidRPr="00671EB0">
        <w:rPr>
          <w:rFonts w:cs="Arial"/>
          <w:sz w:val="22"/>
          <w:szCs w:val="22"/>
        </w:rPr>
        <w:t>.</w:t>
      </w:r>
    </w:p>
    <w:p w:rsidR="00884D44" w:rsidRDefault="00884D44" w:rsidP="00884D44"/>
    <w:p w:rsidR="00884D44" w:rsidRDefault="0086178B" w:rsidP="00562E29">
      <w:pPr>
        <w:pStyle w:val="Heading4"/>
      </w:pPr>
      <w:bookmarkStart w:id="42" w:name="_Toc377471365"/>
      <w:r>
        <w:t>Step 16</w:t>
      </w:r>
      <w:r w:rsidR="00884D44">
        <w:t>: Verification</w:t>
      </w:r>
      <w:bookmarkEnd w:id="42"/>
    </w:p>
    <w:p w:rsidR="00884D44" w:rsidRDefault="00884D44" w:rsidP="00884D44"/>
    <w:p w:rsidR="00884D44" w:rsidRDefault="00884D44" w:rsidP="00884D44">
      <w:pPr>
        <w:rPr>
          <w:sz w:val="22"/>
          <w:szCs w:val="22"/>
        </w:rPr>
      </w:pPr>
      <w:r w:rsidRPr="00AF7209">
        <w:rPr>
          <w:sz w:val="22"/>
          <w:szCs w:val="22"/>
        </w:rPr>
        <w:t xml:space="preserve">Where an application is recommended to be approved and it is an application for rooms in a proposed new or proposed refurbished facility, the recommendation </w:t>
      </w:r>
      <w:r>
        <w:rPr>
          <w:sz w:val="22"/>
          <w:szCs w:val="22"/>
        </w:rPr>
        <w:t xml:space="preserve">is to be made subject to </w:t>
      </w:r>
      <w:r w:rsidR="00945EBA">
        <w:rPr>
          <w:sz w:val="22"/>
          <w:szCs w:val="22"/>
        </w:rPr>
        <w:t xml:space="preserve">identified </w:t>
      </w:r>
      <w:r>
        <w:rPr>
          <w:sz w:val="22"/>
          <w:szCs w:val="22"/>
        </w:rPr>
        <w:t>conditions, being:</w:t>
      </w:r>
    </w:p>
    <w:p w:rsidR="00884D44" w:rsidRDefault="00884D44" w:rsidP="00884D44">
      <w:pPr>
        <w:rPr>
          <w:sz w:val="22"/>
          <w:szCs w:val="22"/>
        </w:rPr>
      </w:pPr>
    </w:p>
    <w:p w:rsidR="00884D44" w:rsidRPr="00AF7209" w:rsidRDefault="00884D44" w:rsidP="00884D44">
      <w:pPr>
        <w:pStyle w:val="ListParagraph"/>
        <w:numPr>
          <w:ilvl w:val="0"/>
          <w:numId w:val="24"/>
        </w:numPr>
        <w:rPr>
          <w:sz w:val="22"/>
          <w:szCs w:val="22"/>
        </w:rPr>
      </w:pPr>
      <w:r w:rsidRPr="00AF7209">
        <w:rPr>
          <w:sz w:val="22"/>
          <w:szCs w:val="22"/>
        </w:rPr>
        <w:t>The verification of costs</w:t>
      </w:r>
      <w:r>
        <w:rPr>
          <w:sz w:val="22"/>
          <w:szCs w:val="22"/>
        </w:rPr>
        <w:t>;</w:t>
      </w:r>
      <w:r w:rsidR="008E6C4D">
        <w:rPr>
          <w:sz w:val="22"/>
          <w:szCs w:val="22"/>
        </w:rPr>
        <w:t xml:space="preserve"> and</w:t>
      </w:r>
    </w:p>
    <w:p w:rsidR="00884D44" w:rsidRPr="008E6C4D" w:rsidRDefault="00884D44" w:rsidP="008E6C4D">
      <w:pPr>
        <w:pStyle w:val="ListParagraph"/>
        <w:numPr>
          <w:ilvl w:val="0"/>
          <w:numId w:val="24"/>
        </w:numPr>
        <w:rPr>
          <w:sz w:val="22"/>
          <w:szCs w:val="22"/>
        </w:rPr>
      </w:pPr>
      <w:r w:rsidRPr="00AF7209">
        <w:rPr>
          <w:sz w:val="22"/>
          <w:szCs w:val="22"/>
        </w:rPr>
        <w:t>The verification of quality, condition, size and amenity, including that the accommodation must be of an equivalent or better standard than that described in the application</w:t>
      </w:r>
      <w:r w:rsidR="008E6C4D">
        <w:rPr>
          <w:sz w:val="22"/>
          <w:szCs w:val="22"/>
        </w:rPr>
        <w:t>.</w:t>
      </w:r>
    </w:p>
    <w:p w:rsidR="00884D44" w:rsidRDefault="00884D44" w:rsidP="00884D44">
      <w:pPr>
        <w:pStyle w:val="Text"/>
        <w:ind w:left="0"/>
      </w:pPr>
    </w:p>
    <w:p w:rsidR="00BE6C44" w:rsidRDefault="00BE6C44" w:rsidP="00884D44">
      <w:pPr>
        <w:pStyle w:val="Text"/>
        <w:ind w:left="0"/>
      </w:pPr>
    </w:p>
    <w:p w:rsidR="00BE6C44" w:rsidRDefault="00BE6C44" w:rsidP="00884D44">
      <w:pPr>
        <w:pStyle w:val="Text"/>
        <w:ind w:left="0"/>
      </w:pPr>
    </w:p>
    <w:p w:rsidR="00BE6C44" w:rsidRDefault="00BE6C44" w:rsidP="00884D44">
      <w:pPr>
        <w:pStyle w:val="Text"/>
        <w:ind w:left="0"/>
      </w:pPr>
    </w:p>
    <w:p w:rsidR="00BE6C44" w:rsidRDefault="00BE6C44" w:rsidP="00884D44">
      <w:pPr>
        <w:pStyle w:val="Text"/>
        <w:ind w:left="0"/>
      </w:pPr>
    </w:p>
    <w:p w:rsidR="00884D44" w:rsidRDefault="0086178B" w:rsidP="00562E29">
      <w:pPr>
        <w:pStyle w:val="Heading4"/>
      </w:pPr>
      <w:r>
        <w:lastRenderedPageBreak/>
        <w:t>Step 17</w:t>
      </w:r>
      <w:r w:rsidR="00C07916">
        <w:t>: Submission of report</w:t>
      </w:r>
    </w:p>
    <w:p w:rsidR="00884D44" w:rsidRDefault="00884D44" w:rsidP="00884D44">
      <w:pPr>
        <w:pStyle w:val="Text"/>
        <w:ind w:left="0"/>
      </w:pPr>
    </w:p>
    <w:p w:rsidR="0027091B" w:rsidRDefault="00E80147" w:rsidP="0027091B">
      <w:pPr>
        <w:pStyle w:val="Text"/>
        <w:ind w:left="0"/>
        <w:jc w:val="left"/>
        <w:rPr>
          <w:rFonts w:cs="Arial"/>
          <w:b/>
          <w:sz w:val="28"/>
          <w:szCs w:val="28"/>
        </w:rPr>
      </w:pPr>
      <w:r>
        <w:rPr>
          <w:sz w:val="22"/>
          <w:szCs w:val="22"/>
        </w:rPr>
        <w:t>A</w:t>
      </w:r>
      <w:r w:rsidR="00C07916" w:rsidRPr="00EB0512">
        <w:rPr>
          <w:sz w:val="22"/>
          <w:szCs w:val="22"/>
        </w:rPr>
        <w:t xml:space="preserve"> completed report is to be submitted to the Commissioner for consideration.</w:t>
      </w:r>
      <w:r w:rsidR="00EB0512" w:rsidRPr="00EB0512">
        <w:rPr>
          <w:sz w:val="22"/>
          <w:szCs w:val="22"/>
        </w:rPr>
        <w:t xml:space="preserve"> This assessment outcome is a recommendation only, and does not ‘produce’ the Commissioner’s decision in respect of the application. The Commissioner will consider the application and the assessor</w:t>
      </w:r>
      <w:r w:rsidR="0086178B">
        <w:rPr>
          <w:sz w:val="22"/>
          <w:szCs w:val="22"/>
        </w:rPr>
        <w:t>s’</w:t>
      </w:r>
      <w:r w:rsidR="00EB0512" w:rsidRPr="00EB0512">
        <w:rPr>
          <w:sz w:val="22"/>
          <w:szCs w:val="22"/>
        </w:rPr>
        <w:t xml:space="preserve"> report</w:t>
      </w:r>
      <w:r w:rsidR="0086178B">
        <w:rPr>
          <w:sz w:val="22"/>
          <w:szCs w:val="22"/>
        </w:rPr>
        <w:t>s</w:t>
      </w:r>
      <w:r w:rsidR="00EB0512" w:rsidRPr="00EB0512">
        <w:rPr>
          <w:sz w:val="22"/>
          <w:szCs w:val="22"/>
        </w:rPr>
        <w:t>, and then, taking into account the information in the application, and the analysis and recommendation</w:t>
      </w:r>
      <w:r w:rsidR="0086178B">
        <w:rPr>
          <w:sz w:val="22"/>
          <w:szCs w:val="22"/>
        </w:rPr>
        <w:t>(s)</w:t>
      </w:r>
      <w:r w:rsidR="00EB0512" w:rsidRPr="00EB0512">
        <w:rPr>
          <w:sz w:val="22"/>
          <w:szCs w:val="22"/>
        </w:rPr>
        <w:t xml:space="preserve"> contained in the report, and the individual circumstances of the application, will reach a decision as to whether to approve the application or to refuse to approve the application.</w:t>
      </w:r>
      <w:bookmarkStart w:id="43" w:name="_Toc377471366"/>
      <w:r w:rsidR="0027091B">
        <w:br w:type="page"/>
      </w:r>
    </w:p>
    <w:p w:rsidR="00884D44" w:rsidRPr="00AF2C9D" w:rsidRDefault="00884D44" w:rsidP="0027091B">
      <w:pPr>
        <w:pStyle w:val="Heading3"/>
      </w:pPr>
      <w:bookmarkStart w:id="44" w:name="_Toc380153552"/>
      <w:proofErr w:type="gramStart"/>
      <w:r>
        <w:lastRenderedPageBreak/>
        <w:t>Appendix 1</w:t>
      </w:r>
      <w:r w:rsidRPr="00AF2C9D">
        <w:t>.</w:t>
      </w:r>
      <w:proofErr w:type="gramEnd"/>
      <w:r w:rsidRPr="00AF2C9D">
        <w:t xml:space="preserve"> Evidence for cost components</w:t>
      </w:r>
      <w:bookmarkEnd w:id="43"/>
      <w:bookmarkEnd w:id="44"/>
    </w:p>
    <w:p w:rsidR="00884D44" w:rsidRPr="005D4E08" w:rsidRDefault="00884D44" w:rsidP="00884D44">
      <w:pPr>
        <w:pStyle w:val="Text"/>
        <w:ind w:left="0"/>
        <w:rPr>
          <w:sz w:val="22"/>
          <w:szCs w:val="22"/>
        </w:rPr>
      </w:pPr>
      <w:r w:rsidRPr="005D4E08">
        <w:rPr>
          <w:sz w:val="22"/>
          <w:szCs w:val="22"/>
        </w:rPr>
        <w:t xml:space="preserve">The evidence </w:t>
      </w:r>
      <w:r>
        <w:rPr>
          <w:sz w:val="22"/>
          <w:szCs w:val="22"/>
        </w:rPr>
        <w:t>indicated below is indicative only, and does not preclude other forms of evidence where they can be demonstrated to be adequate and reliable.</w:t>
      </w:r>
    </w:p>
    <w:tbl>
      <w:tblPr>
        <w:tblpPr w:leftFromText="180" w:rightFromText="180" w:vertAnchor="text" w:horzAnchor="margin" w:tblpY="386"/>
        <w:tblW w:w="98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000" w:firstRow="0" w:lastRow="0" w:firstColumn="0" w:lastColumn="0" w:noHBand="0" w:noVBand="0"/>
        <w:tblCaption w:val="Appendix 1. Evidence for cost components"/>
        <w:tblDescription w:val="List of indicative forms of evidence that may be provided with an application"/>
      </w:tblPr>
      <w:tblGrid>
        <w:gridCol w:w="1702"/>
        <w:gridCol w:w="2267"/>
        <w:gridCol w:w="5859"/>
      </w:tblGrid>
      <w:tr w:rsidR="00884D44" w:rsidRPr="001B0CAA" w:rsidTr="00A6323C">
        <w:trPr>
          <w:trHeight w:val="269"/>
          <w:tblHeader/>
        </w:trPr>
        <w:tc>
          <w:tcPr>
            <w:tcW w:w="866" w:type="pct"/>
            <w:shd w:val="clear" w:color="auto" w:fill="00B0F0"/>
          </w:tcPr>
          <w:p w:rsidR="00884D44" w:rsidRPr="001B0CAA" w:rsidRDefault="00884D44" w:rsidP="00884D44">
            <w:pPr>
              <w:pStyle w:val="TableHeads"/>
              <w:keepNext w:val="0"/>
              <w:widowControl w:val="0"/>
              <w:rPr>
                <w:color w:val="FFFFFF" w:themeColor="background1"/>
                <w:lang w:bidi="x-none"/>
              </w:rPr>
            </w:pPr>
            <w:r>
              <w:rPr>
                <w:color w:val="FFFFFF" w:themeColor="background1"/>
                <w:lang w:bidi="x-none"/>
              </w:rPr>
              <w:t>Component</w:t>
            </w:r>
          </w:p>
        </w:tc>
        <w:tc>
          <w:tcPr>
            <w:tcW w:w="1153" w:type="pct"/>
            <w:shd w:val="clear" w:color="auto" w:fill="00B0F0"/>
          </w:tcPr>
          <w:p w:rsidR="00884D44" w:rsidRPr="001B0CAA" w:rsidRDefault="00884D44" w:rsidP="00884D44">
            <w:pPr>
              <w:pStyle w:val="TableHeads"/>
              <w:keepNext w:val="0"/>
              <w:widowControl w:val="0"/>
              <w:rPr>
                <w:color w:val="FFFFFF" w:themeColor="background1"/>
                <w:lang w:bidi="x-none"/>
              </w:rPr>
            </w:pPr>
            <w:r>
              <w:rPr>
                <w:color w:val="FFFFFF" w:themeColor="background1"/>
                <w:lang w:bidi="x-none"/>
              </w:rPr>
              <w:t>Facility/accommodation type</w:t>
            </w:r>
          </w:p>
        </w:tc>
        <w:tc>
          <w:tcPr>
            <w:tcW w:w="2981" w:type="pct"/>
            <w:shd w:val="clear" w:color="auto" w:fill="00B0F0"/>
          </w:tcPr>
          <w:p w:rsidR="00884D44" w:rsidRPr="001B0CAA" w:rsidRDefault="00884D44" w:rsidP="00884D44">
            <w:pPr>
              <w:pStyle w:val="TableHeads"/>
              <w:keepNext w:val="0"/>
              <w:widowControl w:val="0"/>
              <w:rPr>
                <w:color w:val="FFFFFF" w:themeColor="background1"/>
                <w:lang w:bidi="x-none"/>
              </w:rPr>
            </w:pPr>
            <w:r>
              <w:rPr>
                <w:color w:val="FFFFFF" w:themeColor="background1"/>
                <w:lang w:bidi="x-none"/>
              </w:rPr>
              <w:t>Types of evidence</w:t>
            </w:r>
          </w:p>
        </w:tc>
      </w:tr>
      <w:tr w:rsidR="00884D44" w:rsidTr="00A6323C">
        <w:trPr>
          <w:tblHeader/>
        </w:trPr>
        <w:tc>
          <w:tcPr>
            <w:tcW w:w="866" w:type="pct"/>
            <w:vMerge w:val="restart"/>
            <w:shd w:val="pct50" w:color="E5DBD2" w:fill="FFFFFF"/>
          </w:tcPr>
          <w:p w:rsidR="00884D44" w:rsidRPr="00033069" w:rsidRDefault="00884D44" w:rsidP="00884D44">
            <w:pPr>
              <w:pStyle w:val="TableText"/>
              <w:keepNext w:val="0"/>
              <w:widowControl w:val="0"/>
              <w:ind w:left="0"/>
              <w:rPr>
                <w:b/>
                <w:lang w:bidi="x-none"/>
              </w:rPr>
            </w:pPr>
            <w:r w:rsidRPr="00033069">
              <w:rPr>
                <w:b/>
                <w:lang w:bidi="x-none"/>
              </w:rPr>
              <w:t>Land</w:t>
            </w:r>
          </w:p>
        </w:tc>
        <w:tc>
          <w:tcPr>
            <w:tcW w:w="1153" w:type="pct"/>
            <w:shd w:val="pct50" w:color="E5DBD2" w:fill="FFFFFF"/>
          </w:tcPr>
          <w:p w:rsidR="00884D44" w:rsidRDefault="00884D44" w:rsidP="00884D44">
            <w:pPr>
              <w:pStyle w:val="TableText"/>
              <w:keepNext w:val="0"/>
              <w:widowControl w:val="0"/>
              <w:ind w:left="-34"/>
              <w:rPr>
                <w:lang w:bidi="x-none"/>
              </w:rPr>
            </w:pPr>
            <w:r>
              <w:t>For existing facility or land that was not recently purchased</w:t>
            </w:r>
          </w:p>
        </w:tc>
        <w:tc>
          <w:tcPr>
            <w:tcW w:w="2981" w:type="pct"/>
            <w:shd w:val="pct50" w:color="E5DBD2" w:fill="FFFFFF"/>
          </w:tcPr>
          <w:p w:rsidR="00884D44" w:rsidRDefault="00884D44" w:rsidP="00884D44">
            <w:pPr>
              <w:pStyle w:val="TableTextDotPoint"/>
              <w:tabs>
                <w:tab w:val="clear" w:pos="1074"/>
                <w:tab w:val="num" w:pos="313"/>
              </w:tabs>
              <w:ind w:left="317" w:hanging="312"/>
              <w:rPr>
                <w:lang w:bidi="x-none"/>
              </w:rPr>
            </w:pPr>
            <w:r>
              <w:t xml:space="preserve">Land valuation conducted by a qualified </w:t>
            </w:r>
            <w:proofErr w:type="spellStart"/>
            <w:r>
              <w:t>valuer</w:t>
            </w:r>
            <w:proofErr w:type="spellEnd"/>
            <w:r>
              <w:t xml:space="preserve"> who is a member of the Australian Property Institute in the last 3 years.</w:t>
            </w:r>
          </w:p>
          <w:p w:rsidR="00884D44" w:rsidRDefault="00884D44" w:rsidP="00884D44">
            <w:pPr>
              <w:pStyle w:val="TableTextDotPoint"/>
              <w:tabs>
                <w:tab w:val="clear" w:pos="1074"/>
                <w:tab w:val="num" w:pos="313"/>
              </w:tabs>
              <w:ind w:left="317" w:hanging="312"/>
              <w:rPr>
                <w:lang w:bidi="x-none"/>
              </w:rPr>
            </w:pPr>
            <w:r>
              <w:t>Land value based on historical cost convention.</w:t>
            </w:r>
          </w:p>
          <w:p w:rsidR="0086178B" w:rsidRDefault="0086178B" w:rsidP="00884D44">
            <w:pPr>
              <w:pStyle w:val="TableTextDotPoint"/>
              <w:tabs>
                <w:tab w:val="clear" w:pos="1074"/>
                <w:tab w:val="num" w:pos="313"/>
              </w:tabs>
              <w:ind w:left="317" w:hanging="312"/>
              <w:rPr>
                <w:lang w:bidi="x-none"/>
              </w:rPr>
            </w:pPr>
            <w:r>
              <w:t>Other verifiable value.</w:t>
            </w:r>
          </w:p>
        </w:tc>
      </w:tr>
      <w:tr w:rsidR="00884D44" w:rsidTr="00A6323C">
        <w:trPr>
          <w:tblHeader/>
        </w:trPr>
        <w:tc>
          <w:tcPr>
            <w:tcW w:w="866" w:type="pct"/>
            <w:vMerge/>
            <w:shd w:val="pct50" w:color="E5DBD2" w:fill="FFFFFF"/>
          </w:tcPr>
          <w:p w:rsidR="00884D44" w:rsidRPr="00033069" w:rsidRDefault="00884D44" w:rsidP="00884D44">
            <w:pPr>
              <w:pStyle w:val="TableText"/>
              <w:keepNext w:val="0"/>
              <w:widowControl w:val="0"/>
              <w:ind w:left="0"/>
              <w:rPr>
                <w:b/>
                <w:lang w:bidi="x-none"/>
              </w:rPr>
            </w:pPr>
          </w:p>
        </w:tc>
        <w:tc>
          <w:tcPr>
            <w:tcW w:w="1153" w:type="pct"/>
            <w:shd w:val="pct50" w:color="E5DBD2" w:fill="FFFFFF"/>
          </w:tcPr>
          <w:p w:rsidR="00884D44" w:rsidRDefault="00884D44" w:rsidP="00884D44">
            <w:pPr>
              <w:pStyle w:val="TableText"/>
              <w:keepNext w:val="0"/>
              <w:widowControl w:val="0"/>
              <w:ind w:left="-34"/>
              <w:rPr>
                <w:lang w:bidi="x-none"/>
              </w:rPr>
            </w:pPr>
            <w:r>
              <w:t>Newly acquired land</w:t>
            </w:r>
          </w:p>
        </w:tc>
        <w:tc>
          <w:tcPr>
            <w:tcW w:w="2981" w:type="pct"/>
            <w:shd w:val="pct50" w:color="E5DBD2" w:fill="FFFFFF"/>
          </w:tcPr>
          <w:p w:rsidR="00884D44" w:rsidRDefault="00884D44" w:rsidP="00884D44">
            <w:pPr>
              <w:pStyle w:val="TableTextDotPoint"/>
              <w:tabs>
                <w:tab w:val="clear" w:pos="1074"/>
                <w:tab w:val="num" w:pos="313"/>
              </w:tabs>
              <w:ind w:left="317" w:hanging="312"/>
              <w:rPr>
                <w:lang w:bidi="x-none"/>
              </w:rPr>
            </w:pPr>
            <w:r>
              <w:t>Contract of sale.</w:t>
            </w:r>
          </w:p>
        </w:tc>
      </w:tr>
      <w:tr w:rsidR="00884D44" w:rsidTr="00A6323C">
        <w:trPr>
          <w:tblHeader/>
        </w:trPr>
        <w:tc>
          <w:tcPr>
            <w:tcW w:w="866" w:type="pct"/>
            <w:vMerge w:val="restart"/>
            <w:shd w:val="pct50" w:color="E5DBD2" w:fill="FFFFFF"/>
          </w:tcPr>
          <w:p w:rsidR="00884D44" w:rsidRPr="00033069" w:rsidRDefault="00884D44" w:rsidP="00884D44">
            <w:pPr>
              <w:pStyle w:val="TableText"/>
              <w:keepNext w:val="0"/>
              <w:widowControl w:val="0"/>
              <w:ind w:left="0"/>
              <w:rPr>
                <w:b/>
                <w:lang w:bidi="x-none"/>
              </w:rPr>
            </w:pPr>
            <w:r w:rsidRPr="00033069">
              <w:rPr>
                <w:b/>
                <w:lang w:bidi="x-none"/>
              </w:rPr>
              <w:t>Construction</w:t>
            </w:r>
          </w:p>
        </w:tc>
        <w:tc>
          <w:tcPr>
            <w:tcW w:w="1153" w:type="pct"/>
            <w:shd w:val="pct50" w:color="E5DBD2" w:fill="FFFFFF"/>
          </w:tcPr>
          <w:p w:rsidR="00884D44" w:rsidRDefault="00884D44" w:rsidP="00884D44">
            <w:pPr>
              <w:pStyle w:val="TableText"/>
              <w:keepNext w:val="0"/>
              <w:widowControl w:val="0"/>
              <w:ind w:left="-34"/>
              <w:rPr>
                <w:lang w:bidi="x-none"/>
              </w:rPr>
            </w:pPr>
            <w:r>
              <w:t>Newly acquired building</w:t>
            </w:r>
          </w:p>
        </w:tc>
        <w:tc>
          <w:tcPr>
            <w:tcW w:w="2981" w:type="pct"/>
            <w:shd w:val="pct50" w:color="E5DBD2" w:fill="FFFFFF"/>
          </w:tcPr>
          <w:p w:rsidR="00884D44" w:rsidRPr="00764E7C" w:rsidRDefault="00884D44" w:rsidP="00884D44">
            <w:pPr>
              <w:pStyle w:val="TableTextDotPoint"/>
              <w:tabs>
                <w:tab w:val="clear" w:pos="1074"/>
                <w:tab w:val="num" w:pos="313"/>
              </w:tabs>
              <w:ind w:left="317" w:hanging="312"/>
              <w:rPr>
                <w:lang w:bidi="x-none"/>
              </w:rPr>
            </w:pPr>
            <w:r w:rsidRPr="00764E7C">
              <w:t>Contract</w:t>
            </w:r>
            <w:r w:rsidRPr="00764E7C">
              <w:rPr>
                <w:lang w:bidi="x-none"/>
              </w:rPr>
              <w:t xml:space="preserve"> of sale</w:t>
            </w:r>
          </w:p>
        </w:tc>
      </w:tr>
      <w:tr w:rsidR="00884D44" w:rsidTr="00A6323C">
        <w:trPr>
          <w:tblHeader/>
        </w:trPr>
        <w:tc>
          <w:tcPr>
            <w:tcW w:w="866" w:type="pct"/>
            <w:vMerge/>
            <w:shd w:val="pct50" w:color="E5DBD2" w:fill="FFFFFF"/>
          </w:tcPr>
          <w:p w:rsidR="00884D44" w:rsidRPr="00033069" w:rsidRDefault="00884D44" w:rsidP="00884D44">
            <w:pPr>
              <w:pStyle w:val="TableText"/>
              <w:keepNext w:val="0"/>
              <w:widowControl w:val="0"/>
              <w:ind w:left="0"/>
              <w:rPr>
                <w:b/>
                <w:lang w:bidi="x-none"/>
              </w:rPr>
            </w:pPr>
          </w:p>
        </w:tc>
        <w:tc>
          <w:tcPr>
            <w:tcW w:w="1153" w:type="pct"/>
            <w:shd w:val="pct50" w:color="E5DBD2" w:fill="FFFFFF"/>
          </w:tcPr>
          <w:p w:rsidR="00884D44" w:rsidRDefault="00884D44" w:rsidP="00884D44">
            <w:pPr>
              <w:pStyle w:val="TableText"/>
              <w:keepNext w:val="0"/>
              <w:widowControl w:val="0"/>
              <w:ind w:left="-34"/>
              <w:rPr>
                <w:lang w:bidi="x-none"/>
              </w:rPr>
            </w:pPr>
            <w:r>
              <w:t>Major Refurbishments</w:t>
            </w:r>
          </w:p>
        </w:tc>
        <w:tc>
          <w:tcPr>
            <w:tcW w:w="2981" w:type="pct"/>
            <w:shd w:val="pct50" w:color="E5DBD2" w:fill="FFFFFF"/>
          </w:tcPr>
          <w:p w:rsidR="00884D44" w:rsidRDefault="00884D44" w:rsidP="00884D44">
            <w:pPr>
              <w:pStyle w:val="TableTextDotPoint"/>
              <w:tabs>
                <w:tab w:val="clear" w:pos="1074"/>
                <w:tab w:val="num" w:pos="313"/>
              </w:tabs>
              <w:ind w:left="317" w:hanging="312"/>
            </w:pPr>
            <w:r>
              <w:t>Q</w:t>
            </w:r>
            <w:r w:rsidRPr="00AC3DFF">
              <w:t>uote or estimate of costs that have been certified by a quantity surveyor who is a member</w:t>
            </w:r>
            <w:r>
              <w:t xml:space="preserve"> of the Australian Institute of </w:t>
            </w:r>
            <w:r w:rsidRPr="00AC3DFF">
              <w:t>Quantity Surveyors</w:t>
            </w:r>
            <w:r>
              <w:t xml:space="preserve"> in the last 3 years</w:t>
            </w:r>
            <w:r w:rsidR="009F15E2">
              <w:t>; or</w:t>
            </w:r>
          </w:p>
          <w:p w:rsidR="00884D44" w:rsidRDefault="0086178B" w:rsidP="00884D44">
            <w:pPr>
              <w:pStyle w:val="TableTextDotPoint"/>
              <w:tabs>
                <w:tab w:val="clear" w:pos="1074"/>
                <w:tab w:val="num" w:pos="313"/>
              </w:tabs>
              <w:ind w:left="317" w:hanging="312"/>
            </w:pPr>
            <w:r>
              <w:t>Report to governing Board or certification statement from Chief Financial Officer</w:t>
            </w:r>
            <w:r w:rsidR="009F15E2">
              <w:t xml:space="preserve">, </w:t>
            </w:r>
            <w:proofErr w:type="gramStart"/>
            <w:r w:rsidR="009F15E2">
              <w:t xml:space="preserve">accountant </w:t>
            </w:r>
            <w:r>
              <w:t xml:space="preserve"> or</w:t>
            </w:r>
            <w:proofErr w:type="gramEnd"/>
            <w:r>
              <w:t xml:space="preserve"> equivalent.</w:t>
            </w:r>
          </w:p>
        </w:tc>
      </w:tr>
      <w:tr w:rsidR="00884D44" w:rsidTr="00A6323C">
        <w:trPr>
          <w:tblHeader/>
        </w:trPr>
        <w:tc>
          <w:tcPr>
            <w:tcW w:w="866" w:type="pct"/>
            <w:vMerge/>
            <w:shd w:val="pct50" w:color="E5DBD2" w:fill="FFFFFF"/>
          </w:tcPr>
          <w:p w:rsidR="00884D44" w:rsidRPr="00033069" w:rsidRDefault="00884D44" w:rsidP="00884D44">
            <w:pPr>
              <w:pStyle w:val="TableText"/>
              <w:keepNext w:val="0"/>
              <w:widowControl w:val="0"/>
              <w:ind w:left="0"/>
              <w:rPr>
                <w:b/>
                <w:lang w:bidi="x-none"/>
              </w:rPr>
            </w:pPr>
          </w:p>
        </w:tc>
        <w:tc>
          <w:tcPr>
            <w:tcW w:w="1153" w:type="pct"/>
            <w:shd w:val="pct50" w:color="E5DBD2" w:fill="FFFFFF"/>
          </w:tcPr>
          <w:p w:rsidR="00884D44" w:rsidRDefault="00884D44" w:rsidP="00884D44">
            <w:pPr>
              <w:pStyle w:val="TableText"/>
              <w:keepNext w:val="0"/>
              <w:widowControl w:val="0"/>
              <w:ind w:left="-34"/>
              <w:rPr>
                <w:lang w:bidi="x-none"/>
              </w:rPr>
            </w:pPr>
            <w:r>
              <w:t>Proposed facility: New or extensions</w:t>
            </w:r>
          </w:p>
        </w:tc>
        <w:tc>
          <w:tcPr>
            <w:tcW w:w="2981" w:type="pct"/>
            <w:shd w:val="pct50" w:color="E5DBD2" w:fill="FFFFFF"/>
          </w:tcPr>
          <w:p w:rsidR="00884D44" w:rsidRDefault="00884D44" w:rsidP="00884D44">
            <w:pPr>
              <w:pStyle w:val="TableTextDotPoint"/>
              <w:tabs>
                <w:tab w:val="clear" w:pos="1074"/>
                <w:tab w:val="num" w:pos="313"/>
              </w:tabs>
              <w:ind w:left="317" w:hanging="312"/>
              <w:rPr>
                <w:lang w:bidi="x-none"/>
              </w:rPr>
            </w:pPr>
            <w:r>
              <w:t xml:space="preserve">Quote or estimate that has been certified by a quantity surveyor who is a member of the </w:t>
            </w:r>
            <w:r w:rsidRPr="00B731DE">
              <w:t>Australian Institute of Quantity Surveyors</w:t>
            </w:r>
            <w:r>
              <w:t xml:space="preserve"> in the last 12 months.</w:t>
            </w:r>
          </w:p>
          <w:p w:rsidR="00884D44" w:rsidRDefault="0086178B" w:rsidP="00884D44">
            <w:pPr>
              <w:pStyle w:val="TableTextDotPoint"/>
              <w:tabs>
                <w:tab w:val="clear" w:pos="1074"/>
                <w:tab w:val="num" w:pos="313"/>
              </w:tabs>
              <w:ind w:left="317" w:hanging="312"/>
              <w:rPr>
                <w:lang w:bidi="x-none"/>
              </w:rPr>
            </w:pPr>
            <w:r>
              <w:t xml:space="preserve">Report to </w:t>
            </w:r>
            <w:proofErr w:type="gramStart"/>
            <w:r>
              <w:t xml:space="preserve">governing </w:t>
            </w:r>
            <w:r w:rsidR="00617D12">
              <w:t xml:space="preserve"> </w:t>
            </w:r>
            <w:r>
              <w:t>Board</w:t>
            </w:r>
            <w:proofErr w:type="gramEnd"/>
            <w:r>
              <w:t xml:space="preserve"> or certification statement from Chief Financial Officer or equivalent.</w:t>
            </w:r>
          </w:p>
        </w:tc>
      </w:tr>
      <w:tr w:rsidR="00884D44" w:rsidTr="00A6323C">
        <w:trPr>
          <w:tblHeader/>
        </w:trPr>
        <w:tc>
          <w:tcPr>
            <w:tcW w:w="866" w:type="pct"/>
            <w:vMerge/>
            <w:shd w:val="pct50" w:color="E5DBD2" w:fill="FFFFFF"/>
          </w:tcPr>
          <w:p w:rsidR="00884D44" w:rsidRPr="00033069" w:rsidRDefault="00884D44" w:rsidP="00884D44">
            <w:pPr>
              <w:pStyle w:val="TableText"/>
              <w:keepNext w:val="0"/>
              <w:widowControl w:val="0"/>
              <w:ind w:left="0"/>
              <w:rPr>
                <w:b/>
                <w:lang w:bidi="x-none"/>
              </w:rPr>
            </w:pPr>
          </w:p>
        </w:tc>
        <w:tc>
          <w:tcPr>
            <w:tcW w:w="1153" w:type="pct"/>
            <w:shd w:val="pct50" w:color="E5DBD2" w:fill="FFFFFF"/>
          </w:tcPr>
          <w:p w:rsidR="00884D44" w:rsidRDefault="00884D44" w:rsidP="00884D44">
            <w:pPr>
              <w:pStyle w:val="TableText"/>
              <w:keepNext w:val="0"/>
              <w:widowControl w:val="0"/>
              <w:ind w:left="-34"/>
              <w:rPr>
                <w:lang w:bidi="x-none"/>
              </w:rPr>
            </w:pPr>
            <w:r>
              <w:t>Existing building</w:t>
            </w:r>
          </w:p>
        </w:tc>
        <w:tc>
          <w:tcPr>
            <w:tcW w:w="2981" w:type="pct"/>
            <w:shd w:val="pct50" w:color="E5DBD2" w:fill="FFFFFF"/>
          </w:tcPr>
          <w:p w:rsidR="00884D44" w:rsidRDefault="00884D44" w:rsidP="00884D44">
            <w:pPr>
              <w:pStyle w:val="TableTextDotPoint"/>
              <w:tabs>
                <w:tab w:val="clear" w:pos="1074"/>
                <w:tab w:val="num" w:pos="313"/>
              </w:tabs>
              <w:ind w:left="317" w:hanging="312"/>
              <w:rPr>
                <w:lang w:bidi="x-none"/>
              </w:rPr>
            </w:pPr>
            <w:r>
              <w:t>B</w:t>
            </w:r>
            <w:r w:rsidRPr="00B41EBD">
              <w:t xml:space="preserve">uilding valuation conducted in the last </w:t>
            </w:r>
            <w:r>
              <w:t>3 years</w:t>
            </w:r>
            <w:r w:rsidRPr="00B41EBD">
              <w:t xml:space="preserve"> by a certified </w:t>
            </w:r>
            <w:proofErr w:type="spellStart"/>
            <w:r w:rsidRPr="00B41EBD">
              <w:t>valuer</w:t>
            </w:r>
            <w:proofErr w:type="spellEnd"/>
            <w:r w:rsidRPr="00B41EBD">
              <w:t xml:space="preserve"> who is a member of the Australian Property Institute</w:t>
            </w:r>
            <w:r>
              <w:t>.</w:t>
            </w:r>
          </w:p>
          <w:p w:rsidR="00884D44" w:rsidRDefault="00884D44" w:rsidP="00884D44">
            <w:pPr>
              <w:pStyle w:val="TableTextDotPoint"/>
              <w:tabs>
                <w:tab w:val="clear" w:pos="1074"/>
                <w:tab w:val="num" w:pos="313"/>
              </w:tabs>
              <w:ind w:left="317" w:hanging="312"/>
              <w:rPr>
                <w:lang w:bidi="x-none"/>
              </w:rPr>
            </w:pPr>
            <w:r>
              <w:t>Building value based on historical cost convention.</w:t>
            </w:r>
          </w:p>
          <w:p w:rsidR="008E6C4D" w:rsidRDefault="008E6C4D" w:rsidP="009F15E2">
            <w:pPr>
              <w:pStyle w:val="TableTextDotPoint"/>
              <w:tabs>
                <w:tab w:val="clear" w:pos="1074"/>
                <w:tab w:val="num" w:pos="313"/>
              </w:tabs>
              <w:ind w:left="317" w:hanging="312"/>
              <w:rPr>
                <w:lang w:bidi="x-none"/>
              </w:rPr>
            </w:pPr>
            <w:r>
              <w:t xml:space="preserve">Insured </w:t>
            </w:r>
            <w:r w:rsidR="009F15E2">
              <w:t xml:space="preserve">value </w:t>
            </w:r>
            <w:r>
              <w:t xml:space="preserve">or other </w:t>
            </w:r>
            <w:r w:rsidR="009F15E2">
              <w:t xml:space="preserve">verification of replacement </w:t>
            </w:r>
            <w:r>
              <w:t>value.</w:t>
            </w:r>
          </w:p>
        </w:tc>
      </w:tr>
    </w:tbl>
    <w:p w:rsidR="0027091B" w:rsidRDefault="0027091B">
      <w:pPr>
        <w:spacing w:after="200" w:line="276" w:lineRule="auto"/>
        <w:rPr>
          <w:rFonts w:cs="Arial"/>
          <w:b/>
          <w:sz w:val="28"/>
          <w:szCs w:val="28"/>
        </w:rPr>
      </w:pPr>
      <w:bookmarkStart w:id="45" w:name="_Toc377471367"/>
      <w:r>
        <w:br w:type="page"/>
      </w:r>
    </w:p>
    <w:p w:rsidR="00884D44" w:rsidRPr="00887D0C" w:rsidRDefault="00884D44" w:rsidP="0027091B">
      <w:pPr>
        <w:pStyle w:val="Heading3"/>
      </w:pPr>
      <w:bookmarkStart w:id="46" w:name="_Toc380153553"/>
      <w:proofErr w:type="gramStart"/>
      <w:r>
        <w:lastRenderedPageBreak/>
        <w:t>Appendix 2</w:t>
      </w:r>
      <w:r w:rsidRPr="007D31BA">
        <w:t>.</w:t>
      </w:r>
      <w:proofErr w:type="gramEnd"/>
      <w:r w:rsidRPr="007D31BA">
        <w:t xml:space="preserve"> Specified Care and Services Schedule</w:t>
      </w:r>
      <w:bookmarkEnd w:id="45"/>
      <w:bookmarkEnd w:id="46"/>
    </w:p>
    <w:p w:rsidR="00887D0C" w:rsidRPr="006A4C4D" w:rsidRDefault="00887D0C" w:rsidP="00887D0C">
      <w:pPr>
        <w:rPr>
          <w:rFonts w:cs="Arial"/>
          <w:i/>
        </w:rPr>
      </w:pPr>
      <w:bookmarkStart w:id="47" w:name="_Toc364930495"/>
    </w:p>
    <w:p w:rsidR="00887D0C" w:rsidRPr="006A4C4D" w:rsidRDefault="008613AE" w:rsidP="0027091B">
      <w:pPr>
        <w:pStyle w:val="Heading4"/>
      </w:pPr>
      <w:r>
        <w:t xml:space="preserve">Quality of Care Principles 1997 </w:t>
      </w:r>
      <w:r w:rsidR="00887D0C" w:rsidRPr="006A4C4D">
        <w:t>Schedule 1—Specified care and services for residential care services</w:t>
      </w:r>
      <w:bookmarkEnd w:id="47"/>
    </w:p>
    <w:p w:rsidR="00887D0C" w:rsidRPr="006A4C4D" w:rsidRDefault="00887D0C" w:rsidP="00887D0C">
      <w:pPr>
        <w:rPr>
          <w:rFonts w:cs="Arial"/>
        </w:rPr>
      </w:pPr>
      <w:r w:rsidRPr="006A4C4D">
        <w:rPr>
          <w:rFonts w:cs="Arial"/>
        </w:rPr>
        <w:t>(</w:t>
      </w:r>
      <w:proofErr w:type="gramStart"/>
      <w:r w:rsidRPr="006A4C4D">
        <w:rPr>
          <w:rFonts w:cs="Arial"/>
        </w:rPr>
        <w:t>section</w:t>
      </w:r>
      <w:proofErr w:type="gramEnd"/>
      <w:r w:rsidRPr="006A4C4D">
        <w:rPr>
          <w:rFonts w:cs="Arial"/>
        </w:rPr>
        <w:t> 18.6)</w:t>
      </w:r>
    </w:p>
    <w:p w:rsidR="00887D0C" w:rsidRPr="006A4C4D" w:rsidRDefault="00887D0C" w:rsidP="00887D0C">
      <w:pPr>
        <w:rPr>
          <w:rFonts w:cs="Arial"/>
        </w:rPr>
      </w:pPr>
      <w:r w:rsidRPr="006A4C4D">
        <w:rPr>
          <w:rFonts w:cs="Arial"/>
        </w:rPr>
        <w:t>Note:</w:t>
      </w:r>
      <w:r w:rsidR="0027091B">
        <w:rPr>
          <w:rFonts w:cs="Arial"/>
        </w:rPr>
        <w:tab/>
      </w:r>
      <w:r w:rsidRPr="006A4C4D">
        <w:rPr>
          <w:rFonts w:cs="Arial"/>
        </w:rPr>
        <w:t>Subsection 18.6(1A) provides that the care and services listed in Schedule 1 are to be provided in a way that meets the Accreditation Standards set out in Schedule 2.</w:t>
      </w:r>
    </w:p>
    <w:p w:rsidR="00887D0C" w:rsidRDefault="00887D0C" w:rsidP="00887D0C">
      <w:pPr>
        <w:rPr>
          <w:rFonts w:cs="Arial"/>
        </w:rPr>
      </w:pPr>
      <w:bookmarkStart w:id="48" w:name="_Toc364930496"/>
    </w:p>
    <w:p w:rsidR="00887D0C" w:rsidRPr="006A4C4D" w:rsidRDefault="00887D0C" w:rsidP="0027091B">
      <w:pPr>
        <w:pStyle w:val="Heading5"/>
      </w:pPr>
      <w:r w:rsidRPr="006A4C4D">
        <w:t>Part 1—Hotel services—to be provided for all residents who need them</w:t>
      </w:r>
      <w:bookmarkEnd w:id="48"/>
    </w:p>
    <w:tbl>
      <w:tblPr>
        <w:tblW w:w="0" w:type="auto"/>
        <w:tblInd w:w="119" w:type="dxa"/>
        <w:tblCellMar>
          <w:left w:w="0" w:type="dxa"/>
          <w:right w:w="0" w:type="dxa"/>
        </w:tblCellMar>
        <w:tblLook w:val="04A0" w:firstRow="1" w:lastRow="0" w:firstColumn="1" w:lastColumn="0" w:noHBand="0" w:noVBand="1"/>
        <w:tblCaption w:val="Part 1 Hotel Services to be provided for all residents who need them"/>
        <w:tblDescription w:val="Part 1 Hotel Services to be provided for all residents who need them of Specified care and services for residential care services"/>
      </w:tblPr>
      <w:tblGrid>
        <w:gridCol w:w="1200"/>
        <w:gridCol w:w="2520"/>
        <w:gridCol w:w="5069"/>
      </w:tblGrid>
      <w:tr w:rsidR="00887D0C" w:rsidRPr="006A4C4D" w:rsidTr="00A6323C">
        <w:trPr>
          <w:tblHeader/>
        </w:trPr>
        <w:tc>
          <w:tcPr>
            <w:tcW w:w="1200" w:type="dxa"/>
            <w:tcBorders>
              <w:top w:val="single" w:sz="12" w:space="0" w:color="auto"/>
              <w:left w:val="nil"/>
              <w:bottom w:val="single" w:sz="12"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 Col. 1</w:t>
            </w:r>
          </w:p>
          <w:p w:rsidR="00887D0C" w:rsidRPr="006A4C4D" w:rsidRDefault="00887D0C" w:rsidP="00D866F7">
            <w:pPr>
              <w:rPr>
                <w:rFonts w:cs="Arial"/>
              </w:rPr>
            </w:pPr>
            <w:r w:rsidRPr="006A4C4D">
              <w:rPr>
                <w:rFonts w:cs="Arial"/>
              </w:rPr>
              <w:t>Item</w:t>
            </w:r>
          </w:p>
        </w:tc>
        <w:tc>
          <w:tcPr>
            <w:tcW w:w="2520" w:type="dxa"/>
            <w:tcBorders>
              <w:top w:val="single" w:sz="12" w:space="0" w:color="auto"/>
              <w:left w:val="nil"/>
              <w:bottom w:val="single" w:sz="12"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Column 2</w:t>
            </w:r>
          </w:p>
          <w:p w:rsidR="00887D0C" w:rsidRPr="006A4C4D" w:rsidRDefault="00887D0C" w:rsidP="00D866F7">
            <w:pPr>
              <w:rPr>
                <w:rFonts w:cs="Arial"/>
              </w:rPr>
            </w:pPr>
            <w:r w:rsidRPr="006A4C4D">
              <w:rPr>
                <w:rFonts w:cs="Arial"/>
              </w:rPr>
              <w:t>Service</w:t>
            </w:r>
          </w:p>
        </w:tc>
        <w:tc>
          <w:tcPr>
            <w:tcW w:w="5069" w:type="dxa"/>
            <w:tcBorders>
              <w:top w:val="single" w:sz="12" w:space="0" w:color="auto"/>
              <w:left w:val="nil"/>
              <w:bottom w:val="single" w:sz="12"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Column 3</w:t>
            </w:r>
          </w:p>
          <w:p w:rsidR="00887D0C" w:rsidRPr="006A4C4D" w:rsidRDefault="00887D0C" w:rsidP="00D866F7">
            <w:pPr>
              <w:rPr>
                <w:rFonts w:cs="Arial"/>
              </w:rPr>
            </w:pPr>
            <w:r w:rsidRPr="006A4C4D">
              <w:rPr>
                <w:rFonts w:cs="Arial"/>
              </w:rPr>
              <w:t>Content</w:t>
            </w:r>
          </w:p>
        </w:tc>
      </w:tr>
      <w:tr w:rsidR="00887D0C" w:rsidRPr="006A4C4D" w:rsidTr="00A6323C">
        <w:trPr>
          <w:tblHeader/>
        </w:trPr>
        <w:tc>
          <w:tcPr>
            <w:tcW w:w="1200" w:type="dxa"/>
            <w:tcBorders>
              <w:top w:val="nil"/>
              <w:left w:val="nil"/>
              <w:bottom w:val="single" w:sz="8"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1.1</w:t>
            </w:r>
          </w:p>
        </w:tc>
        <w:tc>
          <w:tcPr>
            <w:tcW w:w="2520" w:type="dxa"/>
            <w:tcBorders>
              <w:top w:val="nil"/>
              <w:left w:val="nil"/>
              <w:bottom w:val="single" w:sz="8"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Administration</w:t>
            </w:r>
          </w:p>
        </w:tc>
        <w:tc>
          <w:tcPr>
            <w:tcW w:w="5069" w:type="dxa"/>
            <w:tcBorders>
              <w:top w:val="nil"/>
              <w:left w:val="nil"/>
              <w:bottom w:val="single" w:sz="8"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General operation of the residential care service, including resident documentation</w:t>
            </w:r>
          </w:p>
        </w:tc>
      </w:tr>
      <w:tr w:rsidR="00887D0C" w:rsidRPr="006A4C4D" w:rsidTr="00A6323C">
        <w:trPr>
          <w:tblHeader/>
        </w:trPr>
        <w:tc>
          <w:tcPr>
            <w:tcW w:w="1200" w:type="dxa"/>
            <w:tcBorders>
              <w:top w:val="nil"/>
              <w:left w:val="nil"/>
              <w:bottom w:val="single" w:sz="8"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1.2</w:t>
            </w:r>
          </w:p>
        </w:tc>
        <w:tc>
          <w:tcPr>
            <w:tcW w:w="2520" w:type="dxa"/>
            <w:tcBorders>
              <w:top w:val="nil"/>
              <w:left w:val="nil"/>
              <w:bottom w:val="single" w:sz="8"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Maintenance of buildings and grounds</w:t>
            </w:r>
          </w:p>
        </w:tc>
        <w:tc>
          <w:tcPr>
            <w:tcW w:w="5069" w:type="dxa"/>
            <w:tcBorders>
              <w:top w:val="nil"/>
              <w:left w:val="nil"/>
              <w:bottom w:val="single" w:sz="8"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 xml:space="preserve">Adequately maintained buildings and grounds </w:t>
            </w:r>
          </w:p>
        </w:tc>
      </w:tr>
      <w:tr w:rsidR="00887D0C" w:rsidRPr="006A4C4D" w:rsidTr="00A6323C">
        <w:trPr>
          <w:tblHeader/>
        </w:trPr>
        <w:tc>
          <w:tcPr>
            <w:tcW w:w="1200" w:type="dxa"/>
            <w:tcBorders>
              <w:top w:val="nil"/>
              <w:left w:val="nil"/>
              <w:bottom w:val="single" w:sz="8"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1.3</w:t>
            </w:r>
          </w:p>
        </w:tc>
        <w:tc>
          <w:tcPr>
            <w:tcW w:w="2520" w:type="dxa"/>
            <w:tcBorders>
              <w:top w:val="nil"/>
              <w:left w:val="nil"/>
              <w:bottom w:val="single" w:sz="8"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Accommodation</w:t>
            </w:r>
          </w:p>
        </w:tc>
        <w:tc>
          <w:tcPr>
            <w:tcW w:w="5069" w:type="dxa"/>
            <w:tcBorders>
              <w:top w:val="nil"/>
              <w:left w:val="nil"/>
              <w:bottom w:val="single" w:sz="8"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Utilities such as electricity and water</w:t>
            </w:r>
          </w:p>
        </w:tc>
      </w:tr>
      <w:tr w:rsidR="00887D0C" w:rsidRPr="006A4C4D" w:rsidTr="00A6323C">
        <w:trPr>
          <w:tblHeader/>
        </w:trPr>
        <w:tc>
          <w:tcPr>
            <w:tcW w:w="1200" w:type="dxa"/>
            <w:tcBorders>
              <w:top w:val="nil"/>
              <w:left w:val="nil"/>
              <w:bottom w:val="single" w:sz="8"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1.4</w:t>
            </w:r>
          </w:p>
        </w:tc>
        <w:tc>
          <w:tcPr>
            <w:tcW w:w="2520" w:type="dxa"/>
            <w:tcBorders>
              <w:top w:val="nil"/>
              <w:left w:val="nil"/>
              <w:bottom w:val="single" w:sz="8"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Furnishings</w:t>
            </w:r>
          </w:p>
        </w:tc>
        <w:tc>
          <w:tcPr>
            <w:tcW w:w="5069" w:type="dxa"/>
            <w:tcBorders>
              <w:top w:val="nil"/>
              <w:left w:val="nil"/>
              <w:bottom w:val="single" w:sz="8"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Bed</w:t>
            </w:r>
            <w:r w:rsidRPr="006A4C4D">
              <w:rPr>
                <w:rFonts w:cs="Arial"/>
              </w:rPr>
              <w:noBreakHyphen/>
              <w:t>side lockers, chairs with arms, containers for personal laundry, dining, lounge and recreational furnishings, draw</w:t>
            </w:r>
            <w:r w:rsidRPr="006A4C4D">
              <w:rPr>
                <w:rFonts w:cs="Arial"/>
              </w:rPr>
              <w:noBreakHyphen/>
              <w:t>screens (for shared rooms), resident wardrobe space, and towel rails</w:t>
            </w:r>
          </w:p>
          <w:p w:rsidR="00887D0C" w:rsidRPr="006A4C4D" w:rsidRDefault="00887D0C" w:rsidP="00D866F7">
            <w:pPr>
              <w:rPr>
                <w:rFonts w:cs="Arial"/>
              </w:rPr>
            </w:pPr>
            <w:r w:rsidRPr="006A4C4D">
              <w:rPr>
                <w:rFonts w:cs="Arial"/>
              </w:rPr>
              <w:t>Excludes furnishings a resident chooses to provide</w:t>
            </w:r>
          </w:p>
        </w:tc>
      </w:tr>
      <w:tr w:rsidR="00887D0C" w:rsidRPr="006A4C4D" w:rsidTr="00A6323C">
        <w:trPr>
          <w:tblHeader/>
        </w:trPr>
        <w:tc>
          <w:tcPr>
            <w:tcW w:w="1200" w:type="dxa"/>
            <w:tcBorders>
              <w:top w:val="nil"/>
              <w:left w:val="nil"/>
              <w:bottom w:val="single" w:sz="8"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1.5</w:t>
            </w:r>
          </w:p>
        </w:tc>
        <w:tc>
          <w:tcPr>
            <w:tcW w:w="2520" w:type="dxa"/>
            <w:tcBorders>
              <w:top w:val="nil"/>
              <w:left w:val="nil"/>
              <w:bottom w:val="single" w:sz="8"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Bedding</w:t>
            </w:r>
          </w:p>
        </w:tc>
        <w:tc>
          <w:tcPr>
            <w:tcW w:w="5069" w:type="dxa"/>
            <w:tcBorders>
              <w:top w:val="nil"/>
              <w:left w:val="nil"/>
              <w:bottom w:val="single" w:sz="8"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Beds and mattresses, bed linen, blankets, and absorbent or waterproof sheeting</w:t>
            </w:r>
          </w:p>
        </w:tc>
      </w:tr>
      <w:tr w:rsidR="00887D0C" w:rsidRPr="006A4C4D" w:rsidTr="00A6323C">
        <w:trPr>
          <w:tblHeader/>
        </w:trPr>
        <w:tc>
          <w:tcPr>
            <w:tcW w:w="1200" w:type="dxa"/>
            <w:tcBorders>
              <w:top w:val="nil"/>
              <w:left w:val="nil"/>
              <w:bottom w:val="single" w:sz="8"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1.6</w:t>
            </w:r>
          </w:p>
        </w:tc>
        <w:tc>
          <w:tcPr>
            <w:tcW w:w="2520" w:type="dxa"/>
            <w:tcBorders>
              <w:top w:val="nil"/>
              <w:left w:val="nil"/>
              <w:bottom w:val="single" w:sz="8"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Cleaning services, goods and facilities</w:t>
            </w:r>
          </w:p>
        </w:tc>
        <w:tc>
          <w:tcPr>
            <w:tcW w:w="5069" w:type="dxa"/>
            <w:tcBorders>
              <w:top w:val="nil"/>
              <w:left w:val="nil"/>
              <w:bottom w:val="single" w:sz="8"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Cleanliness and tidiness of the entire residential care service</w:t>
            </w:r>
          </w:p>
          <w:p w:rsidR="00887D0C" w:rsidRPr="006A4C4D" w:rsidRDefault="00887D0C" w:rsidP="00D866F7">
            <w:pPr>
              <w:rPr>
                <w:rFonts w:cs="Arial"/>
              </w:rPr>
            </w:pPr>
            <w:r w:rsidRPr="006A4C4D">
              <w:rPr>
                <w:rFonts w:cs="Arial"/>
              </w:rPr>
              <w:t>Excludes a resident’s personal area if the resident chooses and is able to maintain it himself or herself</w:t>
            </w:r>
          </w:p>
        </w:tc>
      </w:tr>
      <w:tr w:rsidR="00887D0C" w:rsidRPr="006A4C4D" w:rsidTr="00A6323C">
        <w:trPr>
          <w:tblHeader/>
        </w:trPr>
        <w:tc>
          <w:tcPr>
            <w:tcW w:w="1200" w:type="dxa"/>
            <w:tcBorders>
              <w:top w:val="nil"/>
              <w:left w:val="nil"/>
              <w:bottom w:val="single" w:sz="8"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1.7</w:t>
            </w:r>
          </w:p>
        </w:tc>
        <w:tc>
          <w:tcPr>
            <w:tcW w:w="2520" w:type="dxa"/>
            <w:tcBorders>
              <w:top w:val="nil"/>
              <w:left w:val="nil"/>
              <w:bottom w:val="single" w:sz="8"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Waste disposal</w:t>
            </w:r>
          </w:p>
        </w:tc>
        <w:tc>
          <w:tcPr>
            <w:tcW w:w="5069" w:type="dxa"/>
            <w:tcBorders>
              <w:top w:val="nil"/>
              <w:left w:val="nil"/>
              <w:bottom w:val="single" w:sz="8"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Safe disposal of organic and inorganic waste material</w:t>
            </w:r>
          </w:p>
        </w:tc>
      </w:tr>
      <w:tr w:rsidR="00887D0C" w:rsidRPr="006A4C4D" w:rsidTr="00A6323C">
        <w:trPr>
          <w:tblHeader/>
        </w:trPr>
        <w:tc>
          <w:tcPr>
            <w:tcW w:w="1200" w:type="dxa"/>
            <w:tcBorders>
              <w:top w:val="nil"/>
              <w:left w:val="nil"/>
              <w:bottom w:val="single" w:sz="8"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1.8</w:t>
            </w:r>
          </w:p>
        </w:tc>
        <w:tc>
          <w:tcPr>
            <w:tcW w:w="2520" w:type="dxa"/>
            <w:tcBorders>
              <w:top w:val="nil"/>
              <w:left w:val="nil"/>
              <w:bottom w:val="single" w:sz="8"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General laundry</w:t>
            </w:r>
          </w:p>
        </w:tc>
        <w:tc>
          <w:tcPr>
            <w:tcW w:w="5069" w:type="dxa"/>
            <w:tcBorders>
              <w:top w:val="nil"/>
              <w:left w:val="nil"/>
              <w:bottom w:val="single" w:sz="8"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Heavy laundry facilities and services, and personal laundry services, including laundering of clothing that can be machine washed</w:t>
            </w:r>
          </w:p>
          <w:p w:rsidR="00887D0C" w:rsidRPr="006A4C4D" w:rsidRDefault="00887D0C" w:rsidP="00D866F7">
            <w:pPr>
              <w:rPr>
                <w:rFonts w:cs="Arial"/>
              </w:rPr>
            </w:pPr>
            <w:r w:rsidRPr="006A4C4D">
              <w:rPr>
                <w:rFonts w:cs="Arial"/>
              </w:rPr>
              <w:t>Excludes cleaning of clothing requiring dry cleaning or another special cleaning process, and personal laundry if a resident chooses and is able to do this himself or herself</w:t>
            </w:r>
          </w:p>
        </w:tc>
      </w:tr>
      <w:tr w:rsidR="00887D0C" w:rsidRPr="006A4C4D" w:rsidTr="00A6323C">
        <w:trPr>
          <w:tblHeader/>
        </w:trPr>
        <w:tc>
          <w:tcPr>
            <w:tcW w:w="1200" w:type="dxa"/>
            <w:tcBorders>
              <w:top w:val="nil"/>
              <w:left w:val="nil"/>
              <w:bottom w:val="single" w:sz="8"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1.9</w:t>
            </w:r>
          </w:p>
        </w:tc>
        <w:tc>
          <w:tcPr>
            <w:tcW w:w="2520" w:type="dxa"/>
            <w:tcBorders>
              <w:top w:val="nil"/>
              <w:left w:val="nil"/>
              <w:bottom w:val="single" w:sz="8"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Toiletry goods</w:t>
            </w:r>
          </w:p>
        </w:tc>
        <w:tc>
          <w:tcPr>
            <w:tcW w:w="5069" w:type="dxa"/>
            <w:tcBorders>
              <w:top w:val="nil"/>
              <w:left w:val="nil"/>
              <w:bottom w:val="single" w:sz="8"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Bath towels, face washers, soap, and toilet paper</w:t>
            </w:r>
          </w:p>
        </w:tc>
      </w:tr>
      <w:tr w:rsidR="00887D0C" w:rsidRPr="006A4C4D" w:rsidTr="00A6323C">
        <w:trPr>
          <w:trHeight w:val="1455"/>
          <w:tblHeader/>
        </w:trPr>
        <w:tc>
          <w:tcPr>
            <w:tcW w:w="1200" w:type="dxa"/>
            <w:tcBorders>
              <w:top w:val="nil"/>
              <w:left w:val="nil"/>
              <w:bottom w:val="nil"/>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1.10</w:t>
            </w:r>
          </w:p>
        </w:tc>
        <w:tc>
          <w:tcPr>
            <w:tcW w:w="2520" w:type="dxa"/>
            <w:tcBorders>
              <w:top w:val="nil"/>
              <w:left w:val="nil"/>
              <w:bottom w:val="nil"/>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Meals and refreshments</w:t>
            </w:r>
          </w:p>
        </w:tc>
        <w:tc>
          <w:tcPr>
            <w:tcW w:w="5069" w:type="dxa"/>
            <w:tcBorders>
              <w:top w:val="nil"/>
              <w:left w:val="nil"/>
              <w:bottom w:val="nil"/>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(a) Meals of adequate variety, quality and quantity for each resident, served each day at times generally acceptable to both residents and management, and generally consisting of 3 meals per day plus morning tea, afternoon tea and supper</w:t>
            </w:r>
          </w:p>
        </w:tc>
      </w:tr>
      <w:tr w:rsidR="00887D0C" w:rsidRPr="006A4C4D" w:rsidTr="00A6323C">
        <w:trPr>
          <w:trHeight w:val="1485"/>
          <w:tblHeader/>
        </w:trPr>
        <w:tc>
          <w:tcPr>
            <w:tcW w:w="1200" w:type="dxa"/>
            <w:tcBorders>
              <w:top w:val="nil"/>
              <w:left w:val="nil"/>
              <w:bottom w:val="single" w:sz="8"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 </w:t>
            </w:r>
          </w:p>
        </w:tc>
        <w:tc>
          <w:tcPr>
            <w:tcW w:w="2520" w:type="dxa"/>
            <w:tcBorders>
              <w:top w:val="nil"/>
              <w:left w:val="nil"/>
              <w:bottom w:val="single" w:sz="8"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 </w:t>
            </w:r>
          </w:p>
        </w:tc>
        <w:tc>
          <w:tcPr>
            <w:tcW w:w="5069" w:type="dxa"/>
            <w:tcBorders>
              <w:top w:val="nil"/>
              <w:left w:val="nil"/>
              <w:bottom w:val="single" w:sz="8"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(b) Special dietary requirements, having regard to either medical need or religious or cultural observance</w:t>
            </w:r>
          </w:p>
          <w:p w:rsidR="00887D0C" w:rsidRPr="006A4C4D" w:rsidRDefault="00887D0C" w:rsidP="00D866F7">
            <w:pPr>
              <w:rPr>
                <w:rFonts w:cs="Arial"/>
              </w:rPr>
            </w:pPr>
            <w:r w:rsidRPr="006A4C4D">
              <w:rPr>
                <w:rFonts w:cs="Arial"/>
              </w:rPr>
              <w:t>(c) Food, including fruit of adequate variety, quality and quantity, and non</w:t>
            </w:r>
            <w:r w:rsidRPr="006A4C4D">
              <w:rPr>
                <w:rFonts w:cs="Arial"/>
              </w:rPr>
              <w:noBreakHyphen/>
              <w:t>alcoholic beverages, including fruit juice</w:t>
            </w:r>
          </w:p>
        </w:tc>
      </w:tr>
      <w:tr w:rsidR="00887D0C" w:rsidRPr="006A4C4D" w:rsidTr="00A6323C">
        <w:trPr>
          <w:tblHeader/>
        </w:trPr>
        <w:tc>
          <w:tcPr>
            <w:tcW w:w="1200" w:type="dxa"/>
            <w:tcBorders>
              <w:top w:val="nil"/>
              <w:left w:val="nil"/>
              <w:bottom w:val="single" w:sz="8"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1.11</w:t>
            </w:r>
          </w:p>
        </w:tc>
        <w:tc>
          <w:tcPr>
            <w:tcW w:w="2520" w:type="dxa"/>
            <w:tcBorders>
              <w:top w:val="nil"/>
              <w:left w:val="nil"/>
              <w:bottom w:val="single" w:sz="8"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Resident social activities</w:t>
            </w:r>
          </w:p>
        </w:tc>
        <w:tc>
          <w:tcPr>
            <w:tcW w:w="5069" w:type="dxa"/>
            <w:tcBorders>
              <w:top w:val="nil"/>
              <w:left w:val="nil"/>
              <w:bottom w:val="single" w:sz="8"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Programs to encourage residents to take part in social activities that promote and protect their dignity, and to take part in community life outside the residential care service</w:t>
            </w:r>
          </w:p>
        </w:tc>
      </w:tr>
      <w:tr w:rsidR="00887D0C" w:rsidRPr="006A4C4D" w:rsidTr="00A6323C">
        <w:trPr>
          <w:tblHeader/>
        </w:trPr>
        <w:tc>
          <w:tcPr>
            <w:tcW w:w="1200" w:type="dxa"/>
            <w:tcBorders>
              <w:top w:val="nil"/>
              <w:left w:val="nil"/>
              <w:bottom w:val="single" w:sz="12"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lastRenderedPageBreak/>
              <w:t>1.12</w:t>
            </w:r>
          </w:p>
        </w:tc>
        <w:tc>
          <w:tcPr>
            <w:tcW w:w="2520" w:type="dxa"/>
            <w:tcBorders>
              <w:top w:val="nil"/>
              <w:left w:val="nil"/>
              <w:bottom w:val="single" w:sz="12"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Emergency assistance</w:t>
            </w:r>
          </w:p>
        </w:tc>
        <w:tc>
          <w:tcPr>
            <w:tcW w:w="5069" w:type="dxa"/>
            <w:tcBorders>
              <w:top w:val="nil"/>
              <w:left w:val="nil"/>
              <w:bottom w:val="single" w:sz="12" w:space="0" w:color="auto"/>
              <w:right w:val="nil"/>
            </w:tcBorders>
            <w:tcMar>
              <w:top w:w="0" w:type="dxa"/>
              <w:left w:w="119" w:type="dxa"/>
              <w:bottom w:w="0" w:type="dxa"/>
              <w:right w:w="119" w:type="dxa"/>
            </w:tcMar>
            <w:hideMark/>
          </w:tcPr>
          <w:p w:rsidR="00887D0C" w:rsidRPr="006A4C4D" w:rsidRDefault="00887D0C" w:rsidP="00D866F7">
            <w:pPr>
              <w:rPr>
                <w:rFonts w:cs="Arial"/>
              </w:rPr>
            </w:pPr>
            <w:r w:rsidRPr="006A4C4D">
              <w:rPr>
                <w:rFonts w:cs="Arial"/>
              </w:rPr>
              <w:t>At least 1 responsible person is continuously on call and in reasonable proximity to render emergency assistance</w:t>
            </w:r>
          </w:p>
        </w:tc>
      </w:tr>
    </w:tbl>
    <w:p w:rsidR="00887D0C" w:rsidRDefault="00887D0C" w:rsidP="00887D0C">
      <w:pPr>
        <w:rPr>
          <w:rFonts w:cs="Arial"/>
          <w:b/>
        </w:rPr>
      </w:pPr>
      <w:bookmarkStart w:id="49" w:name="_Toc364930497"/>
    </w:p>
    <w:p w:rsidR="00887D0C" w:rsidRPr="006A4C4D" w:rsidRDefault="00887D0C" w:rsidP="0027091B">
      <w:pPr>
        <w:pStyle w:val="Heading5"/>
      </w:pPr>
      <w:r w:rsidRPr="006A4C4D">
        <w:t>Part 2—Care and services—to be provided for all residents who need them</w:t>
      </w:r>
      <w:bookmarkEnd w:id="49"/>
    </w:p>
    <w:tbl>
      <w:tblPr>
        <w:tblW w:w="0" w:type="auto"/>
        <w:tblInd w:w="119" w:type="dxa"/>
        <w:tblCellMar>
          <w:left w:w="0" w:type="dxa"/>
          <w:right w:w="0" w:type="dxa"/>
        </w:tblCellMar>
        <w:tblLook w:val="04A0" w:firstRow="1" w:lastRow="0" w:firstColumn="1" w:lastColumn="0" w:noHBand="0" w:noVBand="1"/>
        <w:tblCaption w:val="Part 2 Care and services to be provided for all residents who need them"/>
        <w:tblDescription w:val="Part 2 Care and services to be provided for all residents who need them of specified care and services"/>
      </w:tblPr>
      <w:tblGrid>
        <w:gridCol w:w="1201"/>
        <w:gridCol w:w="2520"/>
        <w:gridCol w:w="5069"/>
      </w:tblGrid>
      <w:tr w:rsidR="00887D0C" w:rsidRPr="006A4C4D" w:rsidTr="00A6323C">
        <w:trPr>
          <w:tblHeader/>
        </w:trPr>
        <w:tc>
          <w:tcPr>
            <w:tcW w:w="1201" w:type="dxa"/>
            <w:tcBorders>
              <w:top w:val="single" w:sz="12" w:space="0" w:color="auto"/>
              <w:left w:val="nil"/>
              <w:bottom w:val="single" w:sz="12"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 xml:space="preserve"> Col. 1 </w:t>
            </w:r>
          </w:p>
          <w:p w:rsidR="00887D0C" w:rsidRPr="006A4C4D" w:rsidRDefault="00887D0C" w:rsidP="00D866F7">
            <w:pPr>
              <w:rPr>
                <w:rFonts w:cs="Arial"/>
              </w:rPr>
            </w:pPr>
            <w:r w:rsidRPr="006A4C4D">
              <w:rPr>
                <w:rFonts w:cs="Arial"/>
              </w:rPr>
              <w:t>Item</w:t>
            </w:r>
          </w:p>
        </w:tc>
        <w:tc>
          <w:tcPr>
            <w:tcW w:w="2520" w:type="dxa"/>
            <w:tcBorders>
              <w:top w:val="single" w:sz="12" w:space="0" w:color="auto"/>
              <w:left w:val="nil"/>
              <w:bottom w:val="single" w:sz="12"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Column 2</w:t>
            </w:r>
          </w:p>
          <w:p w:rsidR="00887D0C" w:rsidRPr="006A4C4D" w:rsidRDefault="00887D0C" w:rsidP="00D866F7">
            <w:pPr>
              <w:rPr>
                <w:rFonts w:cs="Arial"/>
              </w:rPr>
            </w:pPr>
            <w:r w:rsidRPr="006A4C4D">
              <w:rPr>
                <w:rFonts w:cs="Arial"/>
              </w:rPr>
              <w:t>Care or Service</w:t>
            </w:r>
          </w:p>
        </w:tc>
        <w:tc>
          <w:tcPr>
            <w:tcW w:w="5069" w:type="dxa"/>
            <w:tcBorders>
              <w:top w:val="single" w:sz="12" w:space="0" w:color="auto"/>
              <w:left w:val="nil"/>
              <w:bottom w:val="single" w:sz="12"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Column 3</w:t>
            </w:r>
          </w:p>
          <w:p w:rsidR="00887D0C" w:rsidRPr="006A4C4D" w:rsidRDefault="00887D0C" w:rsidP="00D866F7">
            <w:pPr>
              <w:rPr>
                <w:rFonts w:cs="Arial"/>
              </w:rPr>
            </w:pPr>
            <w:r w:rsidRPr="006A4C4D">
              <w:rPr>
                <w:rFonts w:cs="Arial"/>
              </w:rPr>
              <w:t>Content</w:t>
            </w:r>
          </w:p>
        </w:tc>
      </w:tr>
      <w:tr w:rsidR="00887D0C" w:rsidRPr="006A4C4D" w:rsidTr="00A6323C">
        <w:trPr>
          <w:trHeight w:val="5830"/>
          <w:tblHeader/>
        </w:trPr>
        <w:tc>
          <w:tcPr>
            <w:tcW w:w="1201"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2.1</w:t>
            </w:r>
          </w:p>
        </w:tc>
        <w:tc>
          <w:tcPr>
            <w:tcW w:w="2520"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Daily living activities assistance</w:t>
            </w:r>
          </w:p>
        </w:tc>
        <w:tc>
          <w:tcPr>
            <w:tcW w:w="5069"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Personal assistance, including individual attention, individual supervision, and physical assistance, with:</w:t>
            </w:r>
          </w:p>
          <w:p w:rsidR="00887D0C" w:rsidRPr="006A4C4D" w:rsidRDefault="00887D0C" w:rsidP="00D866F7">
            <w:pPr>
              <w:rPr>
                <w:rFonts w:cs="Arial"/>
              </w:rPr>
            </w:pPr>
            <w:r w:rsidRPr="006A4C4D">
              <w:rPr>
                <w:rFonts w:cs="Arial"/>
              </w:rPr>
              <w:t>(a) bathing, showering, personal hygiene and grooming</w:t>
            </w:r>
          </w:p>
          <w:p w:rsidR="00887D0C" w:rsidRPr="006A4C4D" w:rsidRDefault="00887D0C" w:rsidP="00D866F7">
            <w:pPr>
              <w:rPr>
                <w:rFonts w:cs="Arial"/>
              </w:rPr>
            </w:pPr>
            <w:r w:rsidRPr="006A4C4D">
              <w:rPr>
                <w:rFonts w:cs="Arial"/>
              </w:rPr>
              <w:t>(b) maintaining continence or managing incontinence, and using aids and appliances designed to assist continence management</w:t>
            </w:r>
          </w:p>
          <w:p w:rsidR="00887D0C" w:rsidRPr="006A4C4D" w:rsidRDefault="00887D0C" w:rsidP="00D866F7">
            <w:pPr>
              <w:rPr>
                <w:rFonts w:cs="Arial"/>
              </w:rPr>
            </w:pPr>
            <w:r w:rsidRPr="006A4C4D">
              <w:rPr>
                <w:rFonts w:cs="Arial"/>
              </w:rPr>
              <w:t>(c) eating and eating aids, and using eating utensils and eating aids (including actual feeding if necessary)</w:t>
            </w:r>
          </w:p>
          <w:p w:rsidR="00887D0C" w:rsidRPr="006A4C4D" w:rsidRDefault="00887D0C" w:rsidP="00D866F7">
            <w:pPr>
              <w:rPr>
                <w:rFonts w:cs="Arial"/>
              </w:rPr>
            </w:pPr>
            <w:r w:rsidRPr="006A4C4D">
              <w:rPr>
                <w:rFonts w:cs="Arial"/>
              </w:rPr>
              <w:t>(d) dressing, undressing, and using dressing aids</w:t>
            </w:r>
          </w:p>
          <w:p w:rsidR="00887D0C" w:rsidRPr="006A4C4D" w:rsidRDefault="00887D0C" w:rsidP="00D866F7">
            <w:pPr>
              <w:rPr>
                <w:rFonts w:cs="Arial"/>
              </w:rPr>
            </w:pPr>
            <w:r w:rsidRPr="006A4C4D">
              <w:rPr>
                <w:rFonts w:cs="Arial"/>
              </w:rPr>
              <w:t>(e) moving, walking, wheelchair use, and using devices and appliances designed to aid mobility, including the fitting of artificial limbs and other personal mobility aids</w:t>
            </w:r>
          </w:p>
          <w:p w:rsidR="00887D0C" w:rsidRPr="006A4C4D" w:rsidRDefault="00887D0C" w:rsidP="00D866F7">
            <w:pPr>
              <w:rPr>
                <w:rFonts w:cs="Arial"/>
              </w:rPr>
            </w:pPr>
            <w:r w:rsidRPr="006A4C4D">
              <w:rPr>
                <w:rFonts w:cs="Arial"/>
              </w:rPr>
              <w:t>(f) communication, including to address difficulties arising from impaired hearing, sight or speech, or lack of common language (including fitting sensory communication aids), and checking hearing aid batteries and cleaning spectacles</w:t>
            </w:r>
          </w:p>
          <w:p w:rsidR="00887D0C" w:rsidRPr="006A4C4D" w:rsidRDefault="00887D0C" w:rsidP="00D866F7">
            <w:pPr>
              <w:rPr>
                <w:rFonts w:cs="Arial"/>
              </w:rPr>
            </w:pPr>
            <w:r w:rsidRPr="006A4C4D">
              <w:rPr>
                <w:rFonts w:cs="Arial"/>
              </w:rPr>
              <w:t>Excludes hairdressing</w:t>
            </w:r>
          </w:p>
        </w:tc>
      </w:tr>
      <w:tr w:rsidR="00887D0C" w:rsidRPr="006A4C4D" w:rsidTr="00A6323C">
        <w:trPr>
          <w:tblHeader/>
        </w:trPr>
        <w:tc>
          <w:tcPr>
            <w:tcW w:w="1201"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2.2</w:t>
            </w:r>
          </w:p>
        </w:tc>
        <w:tc>
          <w:tcPr>
            <w:tcW w:w="2520"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Meals and refreshments</w:t>
            </w:r>
          </w:p>
        </w:tc>
        <w:tc>
          <w:tcPr>
            <w:tcW w:w="5069"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Special diet not normally provided</w:t>
            </w:r>
          </w:p>
        </w:tc>
      </w:tr>
      <w:tr w:rsidR="00887D0C" w:rsidRPr="006A4C4D" w:rsidTr="00A6323C">
        <w:trPr>
          <w:tblHeader/>
        </w:trPr>
        <w:tc>
          <w:tcPr>
            <w:tcW w:w="1201"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2.3</w:t>
            </w:r>
          </w:p>
        </w:tc>
        <w:tc>
          <w:tcPr>
            <w:tcW w:w="2520"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 xml:space="preserve">Emotional support </w:t>
            </w:r>
          </w:p>
        </w:tc>
        <w:tc>
          <w:tcPr>
            <w:tcW w:w="5069"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Emotional support to, and supervision of, residents</w:t>
            </w:r>
          </w:p>
        </w:tc>
      </w:tr>
      <w:tr w:rsidR="00887D0C" w:rsidRPr="006A4C4D" w:rsidTr="00A6323C">
        <w:trPr>
          <w:tblHeader/>
        </w:trPr>
        <w:tc>
          <w:tcPr>
            <w:tcW w:w="1201"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2.4</w:t>
            </w:r>
          </w:p>
        </w:tc>
        <w:tc>
          <w:tcPr>
            <w:tcW w:w="2520"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Treatments and procedures</w:t>
            </w:r>
          </w:p>
        </w:tc>
        <w:tc>
          <w:tcPr>
            <w:tcW w:w="5069"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Treatments and procedures that are carried out according to the instructions of a health professional or a person responsible for assessing a resident’s personal care needs, including supervision and physical assistance with taking medications, and ordering and reordering medications, subject to requirements of State or Territory law</w:t>
            </w:r>
          </w:p>
        </w:tc>
      </w:tr>
      <w:tr w:rsidR="00887D0C" w:rsidRPr="006A4C4D" w:rsidTr="00A6323C">
        <w:trPr>
          <w:tblHeader/>
        </w:trPr>
        <w:tc>
          <w:tcPr>
            <w:tcW w:w="1201"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2.5</w:t>
            </w:r>
          </w:p>
        </w:tc>
        <w:tc>
          <w:tcPr>
            <w:tcW w:w="2520"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Recreational therapy</w:t>
            </w:r>
          </w:p>
        </w:tc>
        <w:tc>
          <w:tcPr>
            <w:tcW w:w="5069"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Recreational activities suited to residents, participation in the activities, and communal recreational equipment</w:t>
            </w:r>
          </w:p>
        </w:tc>
      </w:tr>
      <w:tr w:rsidR="00887D0C" w:rsidRPr="006A4C4D" w:rsidTr="00A6323C">
        <w:trPr>
          <w:tblHeader/>
        </w:trPr>
        <w:tc>
          <w:tcPr>
            <w:tcW w:w="1201"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2.6</w:t>
            </w:r>
          </w:p>
        </w:tc>
        <w:tc>
          <w:tcPr>
            <w:tcW w:w="2520"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Rehabilitation support</w:t>
            </w:r>
          </w:p>
        </w:tc>
        <w:tc>
          <w:tcPr>
            <w:tcW w:w="5069"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Individual therapy programs designed by health professionals that are aimed at maintaining or restoring a resident’s ability to perform daily tasks for himself or herself, or assisting residents to obtain access to such programs</w:t>
            </w:r>
          </w:p>
        </w:tc>
      </w:tr>
      <w:tr w:rsidR="00887D0C" w:rsidRPr="006A4C4D" w:rsidTr="00A6323C">
        <w:trPr>
          <w:tblHeader/>
        </w:trPr>
        <w:tc>
          <w:tcPr>
            <w:tcW w:w="1201"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lastRenderedPageBreak/>
              <w:t>2.7</w:t>
            </w:r>
          </w:p>
        </w:tc>
        <w:tc>
          <w:tcPr>
            <w:tcW w:w="2520"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Assistance in obtaining health practitioner services</w:t>
            </w:r>
          </w:p>
        </w:tc>
        <w:tc>
          <w:tcPr>
            <w:tcW w:w="5069"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Arrangements for aural, community health, dental, medical, psychiatric and other health practitioners to visit residents, whether the arrangements are made by residents, relatives or other persons representing the interests of residents, or are made direct with a health practitioner</w:t>
            </w:r>
          </w:p>
        </w:tc>
      </w:tr>
      <w:tr w:rsidR="00887D0C" w:rsidRPr="006A4C4D" w:rsidTr="00A6323C">
        <w:trPr>
          <w:tblHeader/>
        </w:trPr>
        <w:tc>
          <w:tcPr>
            <w:tcW w:w="1201"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2.8</w:t>
            </w:r>
          </w:p>
        </w:tc>
        <w:tc>
          <w:tcPr>
            <w:tcW w:w="2520"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 xml:space="preserve">Assistance in obtaining access to specialised therapy services </w:t>
            </w:r>
          </w:p>
        </w:tc>
        <w:tc>
          <w:tcPr>
            <w:tcW w:w="5069"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Making arrangements for speech therapy, podiatry, occupational or physiotherapy practitioners to visit residents, whether the arrangements are made by residents, relatives or other persons representing the interests of residents</w:t>
            </w:r>
          </w:p>
        </w:tc>
      </w:tr>
      <w:tr w:rsidR="00887D0C" w:rsidRPr="006A4C4D" w:rsidTr="00A6323C">
        <w:trPr>
          <w:tblHeader/>
        </w:trPr>
        <w:tc>
          <w:tcPr>
            <w:tcW w:w="1201" w:type="dxa"/>
            <w:tcBorders>
              <w:top w:val="nil"/>
              <w:left w:val="nil"/>
              <w:bottom w:val="single" w:sz="12"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2.9</w:t>
            </w:r>
          </w:p>
        </w:tc>
        <w:tc>
          <w:tcPr>
            <w:tcW w:w="2520" w:type="dxa"/>
            <w:tcBorders>
              <w:top w:val="nil"/>
              <w:left w:val="nil"/>
              <w:bottom w:val="single" w:sz="12"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Support for residents with cognitive impairment</w:t>
            </w:r>
          </w:p>
        </w:tc>
        <w:tc>
          <w:tcPr>
            <w:tcW w:w="5069" w:type="dxa"/>
            <w:tcBorders>
              <w:top w:val="nil"/>
              <w:left w:val="nil"/>
              <w:bottom w:val="single" w:sz="12"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Individual attention and support to residents with cognitive impairment (</w:t>
            </w:r>
            <w:proofErr w:type="spellStart"/>
            <w:r w:rsidRPr="006A4C4D">
              <w:rPr>
                <w:rFonts w:cs="Arial"/>
              </w:rPr>
              <w:t>eg</w:t>
            </w:r>
            <w:proofErr w:type="spellEnd"/>
            <w:r w:rsidRPr="006A4C4D">
              <w:rPr>
                <w:rFonts w:cs="Arial"/>
              </w:rPr>
              <w:t> dementia, and other behavioural disorders), including individual therapy activities and specific programs designed and carried out to prevent or manage a particular condition or behaviour and to enhance the quality of life and care for such residents and ongoing support (including specific encouragement) to motivate or enable such residents to take part in general activities of the residential care service</w:t>
            </w:r>
          </w:p>
        </w:tc>
      </w:tr>
    </w:tbl>
    <w:p w:rsidR="00887D0C" w:rsidRDefault="00887D0C" w:rsidP="00887D0C">
      <w:pPr>
        <w:rPr>
          <w:rFonts w:cs="Arial"/>
          <w:b/>
        </w:rPr>
      </w:pPr>
      <w:bookmarkStart w:id="50" w:name="_Toc364930498"/>
    </w:p>
    <w:p w:rsidR="00887D0C" w:rsidRPr="006A4C4D" w:rsidRDefault="00887D0C" w:rsidP="0027091B">
      <w:pPr>
        <w:pStyle w:val="Heading5"/>
      </w:pPr>
      <w:r w:rsidRPr="006A4C4D">
        <w:t>Part 3—Care and services—to be provided for residents receiving a high level of residential care</w:t>
      </w:r>
      <w:bookmarkEnd w:id="50"/>
    </w:p>
    <w:tbl>
      <w:tblPr>
        <w:tblW w:w="0" w:type="auto"/>
        <w:tblInd w:w="119" w:type="dxa"/>
        <w:tblCellMar>
          <w:left w:w="0" w:type="dxa"/>
          <w:right w:w="0" w:type="dxa"/>
        </w:tblCellMar>
        <w:tblLook w:val="04A0" w:firstRow="1" w:lastRow="0" w:firstColumn="1" w:lastColumn="0" w:noHBand="0" w:noVBand="1"/>
        <w:tblCaption w:val="Part 3 Care and services to be provided for residents receiving a high level of residential care"/>
        <w:tblDescription w:val="Part 3 Care and services to be provided for residents receiving a high level of residential care of the specified care and services for residential care"/>
      </w:tblPr>
      <w:tblGrid>
        <w:gridCol w:w="1201"/>
        <w:gridCol w:w="2520"/>
        <w:gridCol w:w="4320"/>
      </w:tblGrid>
      <w:tr w:rsidR="00887D0C" w:rsidRPr="006A4C4D" w:rsidTr="00A6323C">
        <w:trPr>
          <w:tblHeader/>
        </w:trPr>
        <w:tc>
          <w:tcPr>
            <w:tcW w:w="1201" w:type="dxa"/>
            <w:tcBorders>
              <w:top w:val="single" w:sz="12" w:space="0" w:color="auto"/>
              <w:left w:val="nil"/>
              <w:bottom w:val="single" w:sz="12"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 Col. 1</w:t>
            </w:r>
          </w:p>
          <w:p w:rsidR="00887D0C" w:rsidRPr="006A4C4D" w:rsidRDefault="00887D0C" w:rsidP="00D866F7">
            <w:pPr>
              <w:rPr>
                <w:rFonts w:cs="Arial"/>
              </w:rPr>
            </w:pPr>
            <w:r w:rsidRPr="006A4C4D">
              <w:rPr>
                <w:rFonts w:cs="Arial"/>
              </w:rPr>
              <w:t>Item</w:t>
            </w:r>
          </w:p>
        </w:tc>
        <w:tc>
          <w:tcPr>
            <w:tcW w:w="2520" w:type="dxa"/>
            <w:tcBorders>
              <w:top w:val="single" w:sz="12" w:space="0" w:color="auto"/>
              <w:left w:val="nil"/>
              <w:bottom w:val="single" w:sz="12"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Column 2</w:t>
            </w:r>
          </w:p>
          <w:p w:rsidR="00887D0C" w:rsidRPr="006A4C4D" w:rsidRDefault="00887D0C" w:rsidP="00D866F7">
            <w:pPr>
              <w:rPr>
                <w:rFonts w:cs="Arial"/>
              </w:rPr>
            </w:pPr>
            <w:r w:rsidRPr="006A4C4D">
              <w:rPr>
                <w:rFonts w:cs="Arial"/>
              </w:rPr>
              <w:t>Care or Service</w:t>
            </w:r>
          </w:p>
        </w:tc>
        <w:tc>
          <w:tcPr>
            <w:tcW w:w="4320" w:type="dxa"/>
            <w:tcBorders>
              <w:top w:val="single" w:sz="12" w:space="0" w:color="auto"/>
              <w:left w:val="nil"/>
              <w:bottom w:val="single" w:sz="12"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Column 3</w:t>
            </w:r>
          </w:p>
          <w:p w:rsidR="00887D0C" w:rsidRPr="006A4C4D" w:rsidRDefault="00887D0C" w:rsidP="00D866F7">
            <w:pPr>
              <w:rPr>
                <w:rFonts w:cs="Arial"/>
              </w:rPr>
            </w:pPr>
            <w:r w:rsidRPr="006A4C4D">
              <w:rPr>
                <w:rFonts w:cs="Arial"/>
              </w:rPr>
              <w:t>Content</w:t>
            </w:r>
          </w:p>
        </w:tc>
      </w:tr>
      <w:tr w:rsidR="00887D0C" w:rsidRPr="006A4C4D" w:rsidTr="00A6323C">
        <w:trPr>
          <w:tblHeader/>
        </w:trPr>
        <w:tc>
          <w:tcPr>
            <w:tcW w:w="1201"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3.1</w:t>
            </w:r>
          </w:p>
        </w:tc>
        <w:tc>
          <w:tcPr>
            <w:tcW w:w="2520"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Furnishings</w:t>
            </w:r>
          </w:p>
        </w:tc>
        <w:tc>
          <w:tcPr>
            <w:tcW w:w="4320"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Over</w:t>
            </w:r>
            <w:r w:rsidRPr="006A4C4D">
              <w:rPr>
                <w:rFonts w:cs="Arial"/>
              </w:rPr>
              <w:noBreakHyphen/>
              <w:t>bed tables</w:t>
            </w:r>
          </w:p>
        </w:tc>
      </w:tr>
      <w:tr w:rsidR="00887D0C" w:rsidRPr="006A4C4D" w:rsidTr="00A6323C">
        <w:trPr>
          <w:tblHeader/>
        </w:trPr>
        <w:tc>
          <w:tcPr>
            <w:tcW w:w="1201"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3.2</w:t>
            </w:r>
          </w:p>
        </w:tc>
        <w:tc>
          <w:tcPr>
            <w:tcW w:w="2520"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 xml:space="preserve">Bedding materials </w:t>
            </w:r>
          </w:p>
        </w:tc>
        <w:tc>
          <w:tcPr>
            <w:tcW w:w="4320"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 xml:space="preserve">Bed rails, incontinence sheets, </w:t>
            </w:r>
            <w:proofErr w:type="spellStart"/>
            <w:r w:rsidRPr="006A4C4D">
              <w:rPr>
                <w:rFonts w:cs="Arial"/>
              </w:rPr>
              <w:t>restrainers</w:t>
            </w:r>
            <w:proofErr w:type="spellEnd"/>
            <w:r w:rsidRPr="006A4C4D">
              <w:rPr>
                <w:rFonts w:cs="Arial"/>
              </w:rPr>
              <w:t>, ripple mattresses, sheepskins, tri</w:t>
            </w:r>
            <w:r w:rsidRPr="006A4C4D">
              <w:rPr>
                <w:rFonts w:cs="Arial"/>
              </w:rPr>
              <w:noBreakHyphen/>
              <w:t>pillows, and water and air mattresses appropriate to each resident’s condition</w:t>
            </w:r>
          </w:p>
        </w:tc>
      </w:tr>
      <w:tr w:rsidR="00887D0C" w:rsidRPr="006A4C4D" w:rsidTr="00A6323C">
        <w:trPr>
          <w:tblHeader/>
        </w:trPr>
        <w:tc>
          <w:tcPr>
            <w:tcW w:w="1201"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3.3</w:t>
            </w:r>
          </w:p>
        </w:tc>
        <w:tc>
          <w:tcPr>
            <w:tcW w:w="2520"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Toiletry goods</w:t>
            </w:r>
          </w:p>
        </w:tc>
        <w:tc>
          <w:tcPr>
            <w:tcW w:w="4320"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Sanitary pads, tissues, toothpaste, denture cleaning preparations, shampoo and conditioner, and talcum powder</w:t>
            </w:r>
          </w:p>
        </w:tc>
      </w:tr>
      <w:tr w:rsidR="00887D0C" w:rsidRPr="006A4C4D" w:rsidTr="00A6323C">
        <w:trPr>
          <w:tblHeader/>
        </w:trPr>
        <w:tc>
          <w:tcPr>
            <w:tcW w:w="1201"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3.4</w:t>
            </w:r>
          </w:p>
        </w:tc>
        <w:tc>
          <w:tcPr>
            <w:tcW w:w="2520"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Goods to assist residents to move themselves</w:t>
            </w:r>
          </w:p>
        </w:tc>
        <w:tc>
          <w:tcPr>
            <w:tcW w:w="4320"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Crutches, quadruped walkers, walking frames, walking sticks, and wheelchairs</w:t>
            </w:r>
          </w:p>
          <w:p w:rsidR="00887D0C" w:rsidRPr="006A4C4D" w:rsidRDefault="00887D0C" w:rsidP="00D866F7">
            <w:pPr>
              <w:rPr>
                <w:rFonts w:cs="Arial"/>
              </w:rPr>
            </w:pPr>
            <w:r w:rsidRPr="006A4C4D">
              <w:rPr>
                <w:rFonts w:cs="Arial"/>
              </w:rPr>
              <w:t>Excludes motorised wheelchairs and custom made aids</w:t>
            </w:r>
          </w:p>
        </w:tc>
      </w:tr>
      <w:tr w:rsidR="00887D0C" w:rsidRPr="006A4C4D" w:rsidTr="00A6323C">
        <w:trPr>
          <w:tblHeader/>
        </w:trPr>
        <w:tc>
          <w:tcPr>
            <w:tcW w:w="1201"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3.5</w:t>
            </w:r>
          </w:p>
        </w:tc>
        <w:tc>
          <w:tcPr>
            <w:tcW w:w="2520"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Goods to assist staff to move residents</w:t>
            </w:r>
          </w:p>
        </w:tc>
        <w:tc>
          <w:tcPr>
            <w:tcW w:w="4320"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Mechanical devices for lifting residents, stretchers, and trolleys</w:t>
            </w:r>
          </w:p>
        </w:tc>
      </w:tr>
      <w:tr w:rsidR="00887D0C" w:rsidRPr="006A4C4D" w:rsidTr="00A6323C">
        <w:trPr>
          <w:tblHeader/>
        </w:trPr>
        <w:tc>
          <w:tcPr>
            <w:tcW w:w="1201"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3.6</w:t>
            </w:r>
          </w:p>
        </w:tc>
        <w:tc>
          <w:tcPr>
            <w:tcW w:w="2520"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Goods to assist with toileting and incontinence management</w:t>
            </w:r>
          </w:p>
        </w:tc>
        <w:tc>
          <w:tcPr>
            <w:tcW w:w="4320"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Absorbent aids, commode chairs, disposable bed pans and urinal covers, disposable pads, over</w:t>
            </w:r>
            <w:r w:rsidRPr="006A4C4D">
              <w:rPr>
                <w:rFonts w:cs="Arial"/>
              </w:rPr>
              <w:noBreakHyphen/>
              <w:t xml:space="preserve">toilet chairs, shower chairs and </w:t>
            </w:r>
            <w:proofErr w:type="spellStart"/>
            <w:r w:rsidRPr="006A4C4D">
              <w:rPr>
                <w:rFonts w:cs="Arial"/>
              </w:rPr>
              <w:t>urodomes</w:t>
            </w:r>
            <w:proofErr w:type="spellEnd"/>
            <w:r w:rsidRPr="006A4C4D">
              <w:rPr>
                <w:rFonts w:cs="Arial"/>
              </w:rPr>
              <w:t>, catheter and urinary drainage appliances, and disposable enemas</w:t>
            </w:r>
          </w:p>
        </w:tc>
      </w:tr>
      <w:tr w:rsidR="00887D0C" w:rsidRPr="006A4C4D" w:rsidTr="00A6323C">
        <w:trPr>
          <w:tblHeader/>
        </w:trPr>
        <w:tc>
          <w:tcPr>
            <w:tcW w:w="1201"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3.7</w:t>
            </w:r>
          </w:p>
        </w:tc>
        <w:tc>
          <w:tcPr>
            <w:tcW w:w="2520"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 xml:space="preserve">Basic medical and pharmaceutical supplies and equipment </w:t>
            </w:r>
          </w:p>
        </w:tc>
        <w:tc>
          <w:tcPr>
            <w:tcW w:w="4320"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Analgesia, anti</w:t>
            </w:r>
            <w:r w:rsidRPr="006A4C4D">
              <w:rPr>
                <w:rFonts w:cs="Arial"/>
              </w:rPr>
              <w:noBreakHyphen/>
              <w:t>nausea agents, bandages, creams, dressings, laxatives and aperients, mouthwashes, ointments, saline, skin emollients, swabs, and urinary alkalising agents</w:t>
            </w:r>
          </w:p>
          <w:p w:rsidR="00887D0C" w:rsidRPr="006A4C4D" w:rsidRDefault="00887D0C" w:rsidP="00D866F7">
            <w:pPr>
              <w:rPr>
                <w:rFonts w:cs="Arial"/>
              </w:rPr>
            </w:pPr>
            <w:r w:rsidRPr="006A4C4D">
              <w:rPr>
                <w:rFonts w:cs="Arial"/>
              </w:rPr>
              <w:t>Excludes goods prescribed by a health practitioner for a particular resident and used only by the resident</w:t>
            </w:r>
          </w:p>
        </w:tc>
      </w:tr>
      <w:tr w:rsidR="00887D0C" w:rsidRPr="006A4C4D" w:rsidTr="00A6323C">
        <w:trPr>
          <w:trHeight w:val="4140"/>
          <w:tblHeader/>
        </w:trPr>
        <w:tc>
          <w:tcPr>
            <w:tcW w:w="1201" w:type="dxa"/>
            <w:tcBorders>
              <w:top w:val="nil"/>
              <w:left w:val="nil"/>
              <w:bottom w:val="nil"/>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lastRenderedPageBreak/>
              <w:t>3.8</w:t>
            </w:r>
          </w:p>
        </w:tc>
        <w:tc>
          <w:tcPr>
            <w:tcW w:w="2520" w:type="dxa"/>
            <w:tcBorders>
              <w:top w:val="nil"/>
              <w:left w:val="nil"/>
              <w:bottom w:val="nil"/>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Nursing services</w:t>
            </w:r>
          </w:p>
        </w:tc>
        <w:tc>
          <w:tcPr>
            <w:tcW w:w="4320" w:type="dxa"/>
            <w:tcBorders>
              <w:top w:val="nil"/>
              <w:left w:val="nil"/>
              <w:bottom w:val="nil"/>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Initial and on</w:t>
            </w:r>
            <w:r w:rsidRPr="006A4C4D">
              <w:rPr>
                <w:rFonts w:cs="Arial"/>
              </w:rPr>
              <w:noBreakHyphen/>
              <w:t>going assessment, planning and management of care for residents, carried out by a registered nurse</w:t>
            </w:r>
          </w:p>
          <w:p w:rsidR="00887D0C" w:rsidRPr="006A4C4D" w:rsidRDefault="00887D0C" w:rsidP="00D866F7">
            <w:pPr>
              <w:rPr>
                <w:rFonts w:cs="Arial"/>
              </w:rPr>
            </w:pPr>
            <w:r w:rsidRPr="006A4C4D">
              <w:rPr>
                <w:rFonts w:cs="Arial"/>
              </w:rPr>
              <w:t>Nursing services carried out by a registered nurse, or other professional appropriate to the service (</w:t>
            </w:r>
            <w:proofErr w:type="spellStart"/>
            <w:r w:rsidRPr="006A4C4D">
              <w:rPr>
                <w:rFonts w:cs="Arial"/>
              </w:rPr>
              <w:t>eg</w:t>
            </w:r>
            <w:proofErr w:type="spellEnd"/>
            <w:r w:rsidRPr="006A4C4D">
              <w:rPr>
                <w:rFonts w:cs="Arial"/>
              </w:rPr>
              <w:t xml:space="preserve"> medical practitioner, stoma therapist, speech pathologist, physiotherapist or qualified practitioner from a palliative care team)</w:t>
            </w:r>
          </w:p>
          <w:p w:rsidR="00887D0C" w:rsidRPr="006A4C4D" w:rsidRDefault="00887D0C" w:rsidP="00D866F7">
            <w:pPr>
              <w:rPr>
                <w:rFonts w:cs="Arial"/>
              </w:rPr>
            </w:pPr>
            <w:r w:rsidRPr="006A4C4D">
              <w:rPr>
                <w:rFonts w:cs="Arial"/>
              </w:rPr>
              <w:t>Services may include, but are not limited to, the following:</w:t>
            </w:r>
          </w:p>
          <w:p w:rsidR="00887D0C" w:rsidRPr="006A4C4D" w:rsidRDefault="00887D0C" w:rsidP="00D866F7">
            <w:pPr>
              <w:rPr>
                <w:rFonts w:cs="Arial"/>
              </w:rPr>
            </w:pPr>
            <w:r w:rsidRPr="006A4C4D">
              <w:rPr>
                <w:rFonts w:cs="Arial"/>
              </w:rPr>
              <w:t>(a) establishment and supervision of a complex pain management or palliative care program, including monitoring and managing any side effects</w:t>
            </w:r>
          </w:p>
          <w:p w:rsidR="00887D0C" w:rsidRPr="006A4C4D" w:rsidRDefault="00887D0C" w:rsidP="00D866F7">
            <w:pPr>
              <w:rPr>
                <w:rFonts w:cs="Arial"/>
              </w:rPr>
            </w:pPr>
            <w:r w:rsidRPr="006A4C4D">
              <w:rPr>
                <w:rFonts w:cs="Arial"/>
              </w:rPr>
              <w:t xml:space="preserve">(b) insertion, care and maintenance of tubes, including intravenous and </w:t>
            </w:r>
            <w:proofErr w:type="spellStart"/>
            <w:r w:rsidRPr="006A4C4D">
              <w:rPr>
                <w:rFonts w:cs="Arial"/>
              </w:rPr>
              <w:t>naso</w:t>
            </w:r>
            <w:proofErr w:type="spellEnd"/>
            <w:r w:rsidRPr="006A4C4D">
              <w:rPr>
                <w:rFonts w:cs="Arial"/>
              </w:rPr>
              <w:noBreakHyphen/>
              <w:t>gastric tubes</w:t>
            </w:r>
          </w:p>
        </w:tc>
      </w:tr>
      <w:tr w:rsidR="00887D0C" w:rsidRPr="006A4C4D" w:rsidTr="00A6323C">
        <w:trPr>
          <w:trHeight w:val="450"/>
          <w:tblHeader/>
        </w:trPr>
        <w:tc>
          <w:tcPr>
            <w:tcW w:w="1201" w:type="dxa"/>
            <w:tcBorders>
              <w:top w:val="nil"/>
              <w:left w:val="nil"/>
              <w:bottom w:val="nil"/>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 </w:t>
            </w:r>
          </w:p>
        </w:tc>
        <w:tc>
          <w:tcPr>
            <w:tcW w:w="2520" w:type="dxa"/>
            <w:tcBorders>
              <w:top w:val="nil"/>
              <w:left w:val="nil"/>
              <w:bottom w:val="nil"/>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 </w:t>
            </w:r>
          </w:p>
        </w:tc>
        <w:tc>
          <w:tcPr>
            <w:tcW w:w="4320" w:type="dxa"/>
            <w:tcBorders>
              <w:top w:val="nil"/>
              <w:left w:val="nil"/>
              <w:bottom w:val="nil"/>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(c) establishing and reviewing a catheter care program, including the insertion, removal and replacement of catheters</w:t>
            </w:r>
          </w:p>
          <w:p w:rsidR="00887D0C" w:rsidRPr="006A4C4D" w:rsidRDefault="00887D0C" w:rsidP="00D866F7">
            <w:pPr>
              <w:rPr>
                <w:rFonts w:cs="Arial"/>
              </w:rPr>
            </w:pPr>
            <w:r w:rsidRPr="006A4C4D">
              <w:rPr>
                <w:rFonts w:cs="Arial"/>
              </w:rPr>
              <w:t>(d) establishing and reviewing a stoma care program</w:t>
            </w:r>
          </w:p>
          <w:p w:rsidR="00887D0C" w:rsidRPr="006A4C4D" w:rsidRDefault="00887D0C" w:rsidP="00D866F7">
            <w:pPr>
              <w:rPr>
                <w:rFonts w:cs="Arial"/>
              </w:rPr>
            </w:pPr>
            <w:r w:rsidRPr="006A4C4D">
              <w:rPr>
                <w:rFonts w:cs="Arial"/>
              </w:rPr>
              <w:t>(e) complex wound management</w:t>
            </w:r>
          </w:p>
          <w:p w:rsidR="00887D0C" w:rsidRPr="006A4C4D" w:rsidRDefault="00887D0C" w:rsidP="00D866F7">
            <w:pPr>
              <w:rPr>
                <w:rFonts w:cs="Arial"/>
              </w:rPr>
            </w:pPr>
            <w:r w:rsidRPr="006A4C4D">
              <w:rPr>
                <w:rFonts w:cs="Arial"/>
              </w:rPr>
              <w:t>(f) insertion of suppositories</w:t>
            </w:r>
          </w:p>
          <w:p w:rsidR="00887D0C" w:rsidRPr="006A4C4D" w:rsidRDefault="00887D0C" w:rsidP="00D866F7">
            <w:pPr>
              <w:rPr>
                <w:rFonts w:cs="Arial"/>
              </w:rPr>
            </w:pPr>
            <w:r w:rsidRPr="006A4C4D">
              <w:rPr>
                <w:rFonts w:cs="Arial"/>
              </w:rPr>
              <w:t>(g) risk management procedures relating to acute or chronic infectious conditions</w:t>
            </w:r>
          </w:p>
          <w:p w:rsidR="00887D0C" w:rsidRPr="006A4C4D" w:rsidRDefault="00887D0C" w:rsidP="00D866F7">
            <w:pPr>
              <w:rPr>
                <w:rFonts w:cs="Arial"/>
              </w:rPr>
            </w:pPr>
            <w:r w:rsidRPr="006A4C4D">
              <w:rPr>
                <w:rFonts w:cs="Arial"/>
              </w:rPr>
              <w:t>(h) special feeding for care recipients with dysphagia (difficulty with swallowing)</w:t>
            </w:r>
          </w:p>
        </w:tc>
      </w:tr>
      <w:tr w:rsidR="00887D0C" w:rsidRPr="006A4C4D" w:rsidTr="00A6323C">
        <w:trPr>
          <w:tblHeader/>
        </w:trPr>
        <w:tc>
          <w:tcPr>
            <w:tcW w:w="1201"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 </w:t>
            </w:r>
          </w:p>
        </w:tc>
        <w:tc>
          <w:tcPr>
            <w:tcW w:w="2520"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 </w:t>
            </w:r>
          </w:p>
        </w:tc>
        <w:tc>
          <w:tcPr>
            <w:tcW w:w="4320"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w:t>
            </w:r>
            <w:proofErr w:type="spellStart"/>
            <w:r w:rsidRPr="006A4C4D">
              <w:rPr>
                <w:rFonts w:cs="Arial"/>
              </w:rPr>
              <w:t>i</w:t>
            </w:r>
            <w:proofErr w:type="spellEnd"/>
            <w:r w:rsidRPr="006A4C4D">
              <w:rPr>
                <w:rFonts w:cs="Arial"/>
              </w:rPr>
              <w:t>) suctioning of airways</w:t>
            </w:r>
          </w:p>
          <w:p w:rsidR="00887D0C" w:rsidRPr="006A4C4D" w:rsidRDefault="00887D0C" w:rsidP="00D866F7">
            <w:pPr>
              <w:rPr>
                <w:rFonts w:cs="Arial"/>
              </w:rPr>
            </w:pPr>
            <w:r w:rsidRPr="006A4C4D">
              <w:rPr>
                <w:rFonts w:cs="Arial"/>
              </w:rPr>
              <w:t>(j) tracheostomy care</w:t>
            </w:r>
          </w:p>
          <w:p w:rsidR="00887D0C" w:rsidRPr="006A4C4D" w:rsidRDefault="00887D0C" w:rsidP="00D866F7">
            <w:pPr>
              <w:rPr>
                <w:rFonts w:cs="Arial"/>
              </w:rPr>
            </w:pPr>
            <w:r w:rsidRPr="006A4C4D">
              <w:rPr>
                <w:rFonts w:cs="Arial"/>
              </w:rPr>
              <w:t>(k) enema administration</w:t>
            </w:r>
          </w:p>
          <w:p w:rsidR="00887D0C" w:rsidRPr="006A4C4D" w:rsidRDefault="00887D0C" w:rsidP="00D866F7">
            <w:pPr>
              <w:rPr>
                <w:rFonts w:cs="Arial"/>
              </w:rPr>
            </w:pPr>
            <w:r w:rsidRPr="006A4C4D">
              <w:rPr>
                <w:rFonts w:cs="Arial"/>
              </w:rPr>
              <w:t>(l) oxygen therapy requiring ongoing supervision because of a care recipient’s variable need</w:t>
            </w:r>
          </w:p>
          <w:p w:rsidR="00887D0C" w:rsidRPr="006A4C4D" w:rsidRDefault="00887D0C" w:rsidP="00D866F7">
            <w:pPr>
              <w:rPr>
                <w:rFonts w:cs="Arial"/>
              </w:rPr>
            </w:pPr>
            <w:r w:rsidRPr="006A4C4D">
              <w:rPr>
                <w:rFonts w:cs="Arial"/>
              </w:rPr>
              <w:t>(m) dialysis treatment</w:t>
            </w:r>
          </w:p>
        </w:tc>
      </w:tr>
      <w:tr w:rsidR="00887D0C" w:rsidRPr="006A4C4D" w:rsidTr="00A6323C">
        <w:trPr>
          <w:tblHeader/>
        </w:trPr>
        <w:tc>
          <w:tcPr>
            <w:tcW w:w="1201"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3.10</w:t>
            </w:r>
          </w:p>
        </w:tc>
        <w:tc>
          <w:tcPr>
            <w:tcW w:w="2520"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Medications</w:t>
            </w:r>
          </w:p>
        </w:tc>
        <w:tc>
          <w:tcPr>
            <w:tcW w:w="4320"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Medications subject to requirements of State or Territory law</w:t>
            </w:r>
          </w:p>
        </w:tc>
      </w:tr>
      <w:tr w:rsidR="00887D0C" w:rsidRPr="006A4C4D" w:rsidTr="00A6323C">
        <w:trPr>
          <w:tblHeader/>
        </w:trPr>
        <w:tc>
          <w:tcPr>
            <w:tcW w:w="1201" w:type="dxa"/>
            <w:tcBorders>
              <w:top w:val="nil"/>
              <w:left w:val="nil"/>
              <w:bottom w:val="nil"/>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3.11</w:t>
            </w:r>
          </w:p>
        </w:tc>
        <w:tc>
          <w:tcPr>
            <w:tcW w:w="2520" w:type="dxa"/>
            <w:tcBorders>
              <w:top w:val="nil"/>
              <w:left w:val="nil"/>
              <w:bottom w:val="nil"/>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Therapy services, such as, recreational, speech therapy, podiatry, occupational, and physiotherapy services</w:t>
            </w:r>
          </w:p>
        </w:tc>
        <w:tc>
          <w:tcPr>
            <w:tcW w:w="4320" w:type="dxa"/>
            <w:tcBorders>
              <w:top w:val="nil"/>
              <w:left w:val="nil"/>
              <w:bottom w:val="nil"/>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(a) Maintenance therapy delivered by health professionals, or care staff as directed by health professionals, designed to maintain residents’ levels of independence in activities of daily living</w:t>
            </w:r>
          </w:p>
        </w:tc>
      </w:tr>
      <w:tr w:rsidR="00887D0C" w:rsidRPr="006A4C4D" w:rsidTr="00A6323C">
        <w:trPr>
          <w:tblHeader/>
        </w:trPr>
        <w:tc>
          <w:tcPr>
            <w:tcW w:w="1201"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 </w:t>
            </w:r>
          </w:p>
        </w:tc>
        <w:tc>
          <w:tcPr>
            <w:tcW w:w="2520"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 </w:t>
            </w:r>
          </w:p>
        </w:tc>
        <w:tc>
          <w:tcPr>
            <w:tcW w:w="4320" w:type="dxa"/>
            <w:tcBorders>
              <w:top w:val="nil"/>
              <w:left w:val="nil"/>
              <w:bottom w:val="single" w:sz="8"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(b) More intensive therapy delivered by health professionals, or care staff as directed by health professionals, on a temporary basis that is designed to allow residents to reach a level of independence at which maintenance therapy will meet their needs</w:t>
            </w:r>
          </w:p>
          <w:p w:rsidR="00887D0C" w:rsidRPr="006A4C4D" w:rsidRDefault="00887D0C" w:rsidP="00D866F7">
            <w:pPr>
              <w:rPr>
                <w:rFonts w:cs="Arial"/>
              </w:rPr>
            </w:pPr>
            <w:r w:rsidRPr="006A4C4D">
              <w:rPr>
                <w:rFonts w:cs="Arial"/>
              </w:rPr>
              <w:t>Excludes intensive, long</w:t>
            </w:r>
            <w:r w:rsidRPr="006A4C4D">
              <w:rPr>
                <w:rFonts w:cs="Arial"/>
              </w:rPr>
              <w:noBreakHyphen/>
              <w:t>term rehabilitation services required following, for example, serious illness or injury, surgery or trauma</w:t>
            </w:r>
          </w:p>
        </w:tc>
      </w:tr>
      <w:tr w:rsidR="00887D0C" w:rsidRPr="006A4C4D" w:rsidTr="00A6323C">
        <w:trPr>
          <w:tblHeader/>
        </w:trPr>
        <w:tc>
          <w:tcPr>
            <w:tcW w:w="1201" w:type="dxa"/>
            <w:tcBorders>
              <w:top w:val="nil"/>
              <w:left w:val="nil"/>
              <w:bottom w:val="single" w:sz="12"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3.12</w:t>
            </w:r>
          </w:p>
        </w:tc>
        <w:tc>
          <w:tcPr>
            <w:tcW w:w="2520" w:type="dxa"/>
            <w:tcBorders>
              <w:top w:val="nil"/>
              <w:left w:val="nil"/>
              <w:bottom w:val="single" w:sz="12"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 xml:space="preserve">Oxygen and oxygen equipment </w:t>
            </w:r>
          </w:p>
        </w:tc>
        <w:tc>
          <w:tcPr>
            <w:tcW w:w="4320" w:type="dxa"/>
            <w:tcBorders>
              <w:top w:val="nil"/>
              <w:left w:val="nil"/>
              <w:bottom w:val="single" w:sz="12" w:space="0" w:color="auto"/>
              <w:right w:val="nil"/>
            </w:tcBorders>
            <w:tcMar>
              <w:top w:w="0" w:type="dxa"/>
              <w:left w:w="120" w:type="dxa"/>
              <w:bottom w:w="0" w:type="dxa"/>
              <w:right w:w="120" w:type="dxa"/>
            </w:tcMar>
            <w:hideMark/>
          </w:tcPr>
          <w:p w:rsidR="00887D0C" w:rsidRPr="006A4C4D" w:rsidRDefault="00887D0C" w:rsidP="00D866F7">
            <w:pPr>
              <w:rPr>
                <w:rFonts w:cs="Arial"/>
              </w:rPr>
            </w:pPr>
            <w:r w:rsidRPr="006A4C4D">
              <w:rPr>
                <w:rFonts w:cs="Arial"/>
              </w:rPr>
              <w:t>Oxygen and oxygen equipment needed on a short</w:t>
            </w:r>
            <w:r w:rsidRPr="006A4C4D">
              <w:rPr>
                <w:rFonts w:cs="Arial"/>
              </w:rPr>
              <w:noBreakHyphen/>
              <w:t>term, episodic or emergency basis</w:t>
            </w:r>
          </w:p>
        </w:tc>
      </w:tr>
    </w:tbl>
    <w:p w:rsidR="00B31F19" w:rsidRDefault="00B31F19" w:rsidP="00B31F19">
      <w:pPr>
        <w:tabs>
          <w:tab w:val="right" w:pos="7371"/>
        </w:tabs>
      </w:pPr>
    </w:p>
    <w:sectPr w:rsidR="00B31F19" w:rsidSect="00B31F19">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3E2A" w:rsidRDefault="00223E2A" w:rsidP="00B31F19">
      <w:r>
        <w:separator/>
      </w:r>
    </w:p>
  </w:endnote>
  <w:endnote w:type="continuationSeparator" w:id="0">
    <w:p w:rsidR="00223E2A" w:rsidRDefault="00223E2A" w:rsidP="00B31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NeueLT Std Lt Cn">
    <w:altName w:val="Arial"/>
    <w:panose1 w:val="00000000000000000000"/>
    <w:charset w:val="00"/>
    <w:family w:val="swiss"/>
    <w:notTrueType/>
    <w:pitch w:val="variable"/>
    <w:sig w:usb0="800000AF" w:usb1="4000204A" w:usb2="00000000" w:usb3="00000000" w:csb0="00000001" w:csb1="00000000"/>
  </w:font>
  <w:font w:name="Novecento Book">
    <w:altName w:val="Arial"/>
    <w:panose1 w:val="00000000000000000000"/>
    <w:charset w:val="00"/>
    <w:family w:val="modern"/>
    <w:notTrueType/>
    <w:pitch w:val="variable"/>
    <w:sig w:usb0="00000007" w:usb1="00000000" w:usb2="00000000" w:usb3="00000000" w:csb0="00000093"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E2A" w:rsidRDefault="00223E2A" w:rsidP="0086221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23E2A" w:rsidRDefault="00223E2A" w:rsidP="0086221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E2A" w:rsidRDefault="00223E2A" w:rsidP="0086221B">
    <w:pPr>
      <w:pStyle w:val="Footer"/>
      <w:framePr w:wrap="around" w:vAnchor="text" w:hAnchor="page" w:x="10791" w:y="15"/>
      <w:rPr>
        <w:rStyle w:val="PageNumber"/>
      </w:rPr>
    </w:pPr>
    <w:r>
      <w:rPr>
        <w:rStyle w:val="PageNumber"/>
      </w:rPr>
      <w:fldChar w:fldCharType="begin"/>
    </w:r>
    <w:r>
      <w:rPr>
        <w:rStyle w:val="PageNumber"/>
      </w:rPr>
      <w:instrText xml:space="preserve">PAGE  </w:instrText>
    </w:r>
    <w:r>
      <w:rPr>
        <w:rStyle w:val="PageNumber"/>
      </w:rPr>
      <w:fldChar w:fldCharType="separate"/>
    </w:r>
    <w:r w:rsidR="00500CA4">
      <w:rPr>
        <w:rStyle w:val="PageNumber"/>
        <w:noProof/>
      </w:rPr>
      <w:t>2</w:t>
    </w:r>
    <w:r>
      <w:rPr>
        <w:rStyle w:val="PageNumber"/>
      </w:rPr>
      <w:fldChar w:fldCharType="end"/>
    </w:r>
  </w:p>
  <w:p w:rsidR="00223E2A" w:rsidRPr="00DD3E81" w:rsidRDefault="00223E2A" w:rsidP="008622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3E2A" w:rsidRDefault="00223E2A" w:rsidP="00B31F19">
      <w:r>
        <w:separator/>
      </w:r>
    </w:p>
  </w:footnote>
  <w:footnote w:type="continuationSeparator" w:id="0">
    <w:p w:rsidR="00223E2A" w:rsidRDefault="00223E2A" w:rsidP="00B31F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E2A" w:rsidRDefault="00223E2A" w:rsidP="0086221B">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E2A" w:rsidRPr="0027091B" w:rsidRDefault="00223E2A" w:rsidP="0027091B">
    <w:pPr>
      <w:pStyle w:val="Header"/>
      <w:ind w:lef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6068F"/>
    <w:multiLevelType w:val="multilevel"/>
    <w:tmpl w:val="A810F2B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nsid w:val="0196178C"/>
    <w:multiLevelType w:val="hybridMultilevel"/>
    <w:tmpl w:val="02143702"/>
    <w:lvl w:ilvl="0" w:tplc="71E4AC4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B21C68"/>
    <w:multiLevelType w:val="hybridMultilevel"/>
    <w:tmpl w:val="15C2311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9886036"/>
    <w:multiLevelType w:val="hybridMultilevel"/>
    <w:tmpl w:val="8C807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270781"/>
    <w:multiLevelType w:val="hybridMultilevel"/>
    <w:tmpl w:val="0FD4B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E15023"/>
    <w:multiLevelType w:val="hybridMultilevel"/>
    <w:tmpl w:val="633081A6"/>
    <w:lvl w:ilvl="0" w:tplc="327AD43A">
      <w:start w:val="1"/>
      <w:numFmt w:val="bullet"/>
      <w:pStyle w:val="TextDotPoin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1D8F2B19"/>
    <w:multiLevelType w:val="hybridMultilevel"/>
    <w:tmpl w:val="569CF81A"/>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D987A80"/>
    <w:multiLevelType w:val="hybridMultilevel"/>
    <w:tmpl w:val="1E34FAFE"/>
    <w:lvl w:ilvl="0" w:tplc="3FE47D4A">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8">
    <w:nsid w:val="1F663CCB"/>
    <w:multiLevelType w:val="hybridMultilevel"/>
    <w:tmpl w:val="0FEAD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3A0D57"/>
    <w:multiLevelType w:val="hybridMultilevel"/>
    <w:tmpl w:val="E9AE7128"/>
    <w:lvl w:ilvl="0" w:tplc="DDCA19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E23D43"/>
    <w:multiLevelType w:val="hybridMultilevel"/>
    <w:tmpl w:val="CF407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C769D4"/>
    <w:multiLevelType w:val="hybridMultilevel"/>
    <w:tmpl w:val="8238FED8"/>
    <w:lvl w:ilvl="0" w:tplc="AA9207AC">
      <w:start w:val="1"/>
      <w:numFmt w:val="bullet"/>
      <w:pStyle w:val="BoxDotStyle"/>
      <w:lvlText w:val=""/>
      <w:lvlJc w:val="left"/>
      <w:pPr>
        <w:tabs>
          <w:tab w:val="num" w:pos="360"/>
        </w:tabs>
        <w:ind w:left="360" w:hanging="360"/>
      </w:pPr>
      <w:rPr>
        <w:rFonts w:ascii="Symbol" w:hAnsi="Symbol" w:hint="default"/>
      </w:rPr>
    </w:lvl>
    <w:lvl w:ilvl="1" w:tplc="646EA2B4"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Symbol" w:hAnsi="Symbol"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Symbol" w:hAnsi="Symbol" w:hint="default"/>
      </w:rPr>
    </w:lvl>
  </w:abstractNum>
  <w:abstractNum w:abstractNumId="12">
    <w:nsid w:val="2799466B"/>
    <w:multiLevelType w:val="hybridMultilevel"/>
    <w:tmpl w:val="BED4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322EB4"/>
    <w:multiLevelType w:val="multilevel"/>
    <w:tmpl w:val="B4826EA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9A14F2D"/>
    <w:multiLevelType w:val="hybridMultilevel"/>
    <w:tmpl w:val="E74E4F0A"/>
    <w:lvl w:ilvl="0" w:tplc="D2268BA6">
      <w:start w:val="6"/>
      <w:numFmt w:val="bullet"/>
      <w:lvlText w:val="-"/>
      <w:lvlJc w:val="left"/>
      <w:pPr>
        <w:ind w:left="420" w:hanging="360"/>
      </w:pPr>
      <w:rPr>
        <w:rFonts w:ascii="Times New Roman" w:eastAsia="Times New Roman" w:hAnsi="Times New Roman" w:cs="Times New Roman"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15">
    <w:nsid w:val="32EF3C5C"/>
    <w:multiLevelType w:val="hybridMultilevel"/>
    <w:tmpl w:val="B5FCF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AC0E0B"/>
    <w:multiLevelType w:val="hybridMultilevel"/>
    <w:tmpl w:val="EA22D71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nsid w:val="34197090"/>
    <w:multiLevelType w:val="multilevel"/>
    <w:tmpl w:val="D7B25CC2"/>
    <w:lvl w:ilvl="0">
      <w:start w:val="1"/>
      <w:numFmt w:val="decimal"/>
      <w:pStyle w:val="ExecFigure"/>
      <w:suff w:val="space"/>
      <w:lvlText w:val="Figure ES 1.%1"/>
      <w:lvlJc w:val="left"/>
      <w:pPr>
        <w:ind w:left="0" w:firstLine="0"/>
      </w:pPr>
      <w:rPr>
        <w:rFonts w:hint="default"/>
      </w:rPr>
    </w:lvl>
    <w:lvl w:ilvl="1">
      <w:start w:val="1"/>
      <w:numFmt w:val="decimal"/>
      <w:pStyle w:val="ExecBox"/>
      <w:suff w:val="space"/>
      <w:lvlText w:val="Box ES 1.%2"/>
      <w:lvlJc w:val="left"/>
      <w:pPr>
        <w:ind w:left="0" w:firstLine="0"/>
      </w:pPr>
      <w:rPr>
        <w:rFonts w:hint="default"/>
      </w:rPr>
    </w:lvl>
    <w:lvl w:ilvl="2">
      <w:start w:val="1"/>
      <w:numFmt w:val="decimal"/>
      <w:pStyle w:val="ExecTable"/>
      <w:suff w:val="nothing"/>
      <w:lvlText w:val="Table ES 1.%3"/>
      <w:lvlJc w:val="left"/>
      <w:pPr>
        <w:ind w:left="0" w:firstLine="0"/>
      </w:pPr>
      <w:rPr>
        <w:rFonts w:hint="default"/>
      </w:rPr>
    </w:lvl>
    <w:lvl w:ilvl="3">
      <w:start w:val="1"/>
      <w:numFmt w:val="none"/>
      <w:lvlText w:val=""/>
      <w:lvlJc w:val="left"/>
      <w:pPr>
        <w:tabs>
          <w:tab w:val="num" w:pos="1440"/>
        </w:tabs>
        <w:ind w:left="1440" w:hanging="360"/>
      </w:pPr>
      <w:rPr>
        <w:rFont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37475016"/>
    <w:multiLevelType w:val="hybridMultilevel"/>
    <w:tmpl w:val="F95AA58A"/>
    <w:lvl w:ilvl="0" w:tplc="4276F6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97F7291"/>
    <w:multiLevelType w:val="hybridMultilevel"/>
    <w:tmpl w:val="050C05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345545"/>
    <w:multiLevelType w:val="multilevel"/>
    <w:tmpl w:val="FCEEF3A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CEC76AC"/>
    <w:multiLevelType w:val="hybridMultilevel"/>
    <w:tmpl w:val="EBA0E1F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3EB72C01"/>
    <w:multiLevelType w:val="hybridMultilevel"/>
    <w:tmpl w:val="9E163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F5603AB"/>
    <w:multiLevelType w:val="hybridMultilevel"/>
    <w:tmpl w:val="D188E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2D74C3C"/>
    <w:multiLevelType w:val="multilevel"/>
    <w:tmpl w:val="A42E2572"/>
    <w:lvl w:ilvl="0">
      <w:start w:val="1"/>
      <w:numFmt w:val="upperLetter"/>
      <w:lvlRestart w:val="0"/>
      <w:pStyle w:val="AppendixHeading"/>
      <w:lvlText w:val="Appendix %1"/>
      <w:lvlJc w:val="left"/>
      <w:pPr>
        <w:ind w:left="0" w:firstLine="0"/>
      </w:pPr>
      <w:rPr>
        <w:rFonts w:ascii="Times New Roman" w:hAnsi="Times New Roman" w:hint="default"/>
        <w:b w:val="0"/>
        <w:i/>
        <w:color w:val="800000"/>
        <w:sz w:val="28"/>
        <w:szCs w:val="28"/>
      </w:rPr>
    </w:lvl>
    <w:lvl w:ilvl="1">
      <w:start w:val="1"/>
      <w:numFmt w:val="none"/>
      <w:lvlRestart w:val="0"/>
      <w:pStyle w:val="AppendixHeading2"/>
      <w:suff w:val="nothing"/>
      <w:lvlText w:val=""/>
      <w:lvlJc w:val="left"/>
      <w:pPr>
        <w:ind w:left="0" w:firstLine="0"/>
      </w:pPr>
      <w:rPr>
        <w:rFonts w:hint="default"/>
      </w:rPr>
    </w:lvl>
    <w:lvl w:ilvl="2">
      <w:start w:val="1"/>
      <w:numFmt w:val="decimal"/>
      <w:lvlRestart w:val="1"/>
      <w:pStyle w:val="AppendixHeading3"/>
      <w:lvlText w:val="%1.%3"/>
      <w:lvlJc w:val="left"/>
      <w:pPr>
        <w:tabs>
          <w:tab w:val="num" w:pos="709"/>
        </w:tabs>
        <w:ind w:left="0" w:firstLine="0"/>
      </w:pPr>
      <w:rPr>
        <w:rFonts w:hint="default"/>
      </w:rPr>
    </w:lvl>
    <w:lvl w:ilvl="3">
      <w:start w:val="1"/>
      <w:numFmt w:val="none"/>
      <w:lvlRestart w:val="0"/>
      <w:pStyle w:val="AppendixHeading4"/>
      <w:suff w:val="nothing"/>
      <w:lvlText w:val=""/>
      <w:lvlJc w:val="left"/>
      <w:pPr>
        <w:ind w:left="0" w:firstLine="0"/>
      </w:pPr>
      <w:rPr>
        <w:rFonts w:hint="default"/>
      </w:rPr>
    </w:lvl>
    <w:lvl w:ilvl="4">
      <w:start w:val="1"/>
      <w:numFmt w:val="none"/>
      <w:lvlRestart w:val="0"/>
      <w:pStyle w:val="AppendixHeading5notUsed"/>
      <w:suff w:val="nothing"/>
      <w:lvlText w:val=""/>
      <w:lvlJc w:val="left"/>
      <w:pPr>
        <w:ind w:left="0" w:firstLine="0"/>
      </w:pPr>
      <w:rPr>
        <w:rFonts w:hint="default"/>
      </w:rPr>
    </w:lvl>
    <w:lvl w:ilvl="5">
      <w:start w:val="1"/>
      <w:numFmt w:val="decimal"/>
      <w:lvlRestart w:val="1"/>
      <w:pStyle w:val="AppendixHeading6"/>
      <w:suff w:val="space"/>
      <w:lvlText w:val="Figure %1.%6"/>
      <w:lvlJc w:val="left"/>
      <w:pPr>
        <w:ind w:left="0" w:firstLine="0"/>
      </w:pPr>
      <w:rPr>
        <w:rFonts w:hint="default"/>
      </w:rPr>
    </w:lvl>
    <w:lvl w:ilvl="6">
      <w:start w:val="1"/>
      <w:numFmt w:val="decimal"/>
      <w:lvlRestart w:val="1"/>
      <w:pStyle w:val="AppendixHeading7"/>
      <w:suff w:val="space"/>
      <w:lvlText w:val="Box %1.%7"/>
      <w:lvlJc w:val="left"/>
      <w:pPr>
        <w:ind w:left="0" w:firstLine="0"/>
      </w:pPr>
      <w:rPr>
        <w:rFonts w:hint="default"/>
      </w:rPr>
    </w:lvl>
    <w:lvl w:ilvl="7">
      <w:start w:val="1"/>
      <w:numFmt w:val="decimal"/>
      <w:lvlRestart w:val="1"/>
      <w:pStyle w:val="AppendixHeading8"/>
      <w:suff w:val="space"/>
      <w:lvlText w:val="Table %1.%8"/>
      <w:lvlJc w:val="left"/>
      <w:pPr>
        <w:ind w:left="0" w:firstLine="0"/>
      </w:pPr>
      <w:rPr>
        <w:rFonts w:hint="default"/>
      </w:rPr>
    </w:lvl>
    <w:lvl w:ilvl="8">
      <w:start w:val="1"/>
      <w:numFmt w:val="decimal"/>
      <w:lvlRestart w:val="1"/>
      <w:pStyle w:val="Heading9"/>
      <w:suff w:val="nothing"/>
      <w:lvlText w:val="Attachment %9"/>
      <w:lvlJc w:val="left"/>
      <w:pPr>
        <w:ind w:left="0" w:firstLine="0"/>
      </w:pPr>
      <w:rPr>
        <w:rFonts w:hint="default"/>
      </w:rPr>
    </w:lvl>
  </w:abstractNum>
  <w:abstractNum w:abstractNumId="25">
    <w:nsid w:val="53E67184"/>
    <w:multiLevelType w:val="hybridMultilevel"/>
    <w:tmpl w:val="1E34FAFE"/>
    <w:lvl w:ilvl="0" w:tplc="3FE47D4A">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26">
    <w:nsid w:val="61473081"/>
    <w:multiLevelType w:val="hybridMultilevel"/>
    <w:tmpl w:val="E22A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5E37142"/>
    <w:multiLevelType w:val="hybridMultilevel"/>
    <w:tmpl w:val="B5CCDDEE"/>
    <w:lvl w:ilvl="0" w:tplc="8724AEA6">
      <w:start w:val="1"/>
      <w:numFmt w:val="bullet"/>
      <w:pStyle w:val="TableTextDotPoint"/>
      <w:lvlText w:val=""/>
      <w:lvlJc w:val="left"/>
      <w:pPr>
        <w:tabs>
          <w:tab w:val="num" w:pos="1074"/>
        </w:tabs>
        <w:ind w:left="1074"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
    <w:nsid w:val="6BB2667E"/>
    <w:multiLevelType w:val="hybridMultilevel"/>
    <w:tmpl w:val="96AA95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D7B64B4"/>
    <w:multiLevelType w:val="hybridMultilevel"/>
    <w:tmpl w:val="3BE2CD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72C53CD8"/>
    <w:multiLevelType w:val="hybridMultilevel"/>
    <w:tmpl w:val="8B025BF8"/>
    <w:lvl w:ilvl="0" w:tplc="099ABD6C">
      <w:start w:val="1"/>
      <w:numFmt w:val="decimal"/>
      <w:lvlText w:val="%1."/>
      <w:lvlJc w:val="left"/>
      <w:pPr>
        <w:ind w:left="-247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1035" w:hanging="180"/>
      </w:pPr>
    </w:lvl>
    <w:lvl w:ilvl="3" w:tplc="0409000F" w:tentative="1">
      <w:start w:val="1"/>
      <w:numFmt w:val="decimal"/>
      <w:lvlText w:val="%4."/>
      <w:lvlJc w:val="left"/>
      <w:pPr>
        <w:ind w:left="-315" w:hanging="360"/>
      </w:pPr>
    </w:lvl>
    <w:lvl w:ilvl="4" w:tplc="04090019" w:tentative="1">
      <w:start w:val="1"/>
      <w:numFmt w:val="lowerLetter"/>
      <w:lvlText w:val="%5."/>
      <w:lvlJc w:val="left"/>
      <w:pPr>
        <w:ind w:left="405" w:hanging="360"/>
      </w:pPr>
    </w:lvl>
    <w:lvl w:ilvl="5" w:tplc="0409001B" w:tentative="1">
      <w:start w:val="1"/>
      <w:numFmt w:val="lowerRoman"/>
      <w:lvlText w:val="%6."/>
      <w:lvlJc w:val="right"/>
      <w:pPr>
        <w:ind w:left="1125" w:hanging="180"/>
      </w:pPr>
    </w:lvl>
    <w:lvl w:ilvl="6" w:tplc="0409000F" w:tentative="1">
      <w:start w:val="1"/>
      <w:numFmt w:val="decimal"/>
      <w:lvlText w:val="%7."/>
      <w:lvlJc w:val="left"/>
      <w:pPr>
        <w:ind w:left="1845" w:hanging="360"/>
      </w:pPr>
    </w:lvl>
    <w:lvl w:ilvl="7" w:tplc="04090019" w:tentative="1">
      <w:start w:val="1"/>
      <w:numFmt w:val="lowerLetter"/>
      <w:lvlText w:val="%8."/>
      <w:lvlJc w:val="left"/>
      <w:pPr>
        <w:ind w:left="2565" w:hanging="360"/>
      </w:pPr>
    </w:lvl>
    <w:lvl w:ilvl="8" w:tplc="0409001B" w:tentative="1">
      <w:start w:val="1"/>
      <w:numFmt w:val="lowerRoman"/>
      <w:lvlText w:val="%9."/>
      <w:lvlJc w:val="right"/>
      <w:pPr>
        <w:ind w:left="3285" w:hanging="180"/>
      </w:pPr>
    </w:lvl>
  </w:abstractNum>
  <w:abstractNum w:abstractNumId="31">
    <w:nsid w:val="75BF699F"/>
    <w:multiLevelType w:val="hybridMultilevel"/>
    <w:tmpl w:val="B810A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72400C8"/>
    <w:multiLevelType w:val="multilevel"/>
    <w:tmpl w:val="46D6F7D0"/>
    <w:lvl w:ilvl="0">
      <w:start w:val="1"/>
      <w:numFmt w:val="decimal"/>
      <w:lvlRestart w:val="0"/>
      <w:suff w:val="space"/>
      <w:lvlText w:val="Chapter %1"/>
      <w:lvlJc w:val="left"/>
      <w:pPr>
        <w:ind w:left="0" w:firstLine="0"/>
      </w:pPr>
      <w:rPr>
        <w:rFonts w:ascii="Arial" w:hAnsi="Arial" w:cs="Arial"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
      <w:lvlJc w:val="left"/>
      <w:pPr>
        <w:ind w:left="0" w:firstLine="0"/>
      </w:pPr>
      <w:rPr>
        <w:rFonts w:hint="default"/>
        <w:b w:val="0"/>
        <w:bCs w:val="0"/>
        <w:i w:val="0"/>
        <w:iCs w:val="0"/>
        <w:caps w:val="0"/>
        <w:smallCaps w:val="0"/>
        <w:strike w:val="0"/>
        <w:dstrike w:val="0"/>
        <w:vanish w:val="0"/>
        <w:color w:val="auto"/>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1.%3"/>
      <w:lvlJc w:val="left"/>
      <w:pPr>
        <w:tabs>
          <w:tab w:val="num" w:pos="3544"/>
        </w:tabs>
        <w:ind w:left="2835"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Restart w:val="0"/>
      <w:pStyle w:val="Heading4Numbered"/>
      <w:lvlText w:val="%1.%3.%4"/>
      <w:lvlJc w:val="left"/>
      <w:pPr>
        <w:ind w:left="0" w:firstLine="0"/>
      </w:pPr>
      <w:rPr>
        <w:rFonts w:hint="default"/>
      </w:rPr>
    </w:lvl>
    <w:lvl w:ilvl="4">
      <w:start w:val="1"/>
      <w:numFmt w:val="none"/>
      <w:lvlRestart w:val="0"/>
      <w:pStyle w:val="Heading5"/>
      <w:suff w:val="nothing"/>
      <w:lvlText w:val=""/>
      <w:lvlJc w:val="left"/>
      <w:pPr>
        <w:ind w:left="0" w:firstLine="0"/>
      </w:pPr>
      <w:rPr>
        <w:rFonts w:hint="default"/>
      </w:rPr>
    </w:lvl>
    <w:lvl w:ilvl="5">
      <w:start w:val="1"/>
      <w:numFmt w:val="decimal"/>
      <w:lvlRestart w:val="1"/>
      <w:pStyle w:val="Heading6"/>
      <w:suff w:val="space"/>
      <w:lvlText w:val="Figure %1.%6"/>
      <w:lvlJc w:val="left"/>
      <w:pPr>
        <w:ind w:left="368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Restart w:val="1"/>
      <w:pStyle w:val="Heading7"/>
      <w:suff w:val="nothing"/>
      <w:lvlText w:val="Box %1.%7"/>
      <w:lvlJc w:val="left"/>
      <w:pPr>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decimal"/>
      <w:lvlRestart w:val="1"/>
      <w:pStyle w:val="Heading8"/>
      <w:suff w:val="nothing"/>
      <w:lvlText w:val="Table %1.%8"/>
      <w:lvlJc w:val="left"/>
      <w:pPr>
        <w:ind w:left="0" w:firstLine="0"/>
      </w:pPr>
      <w:rPr>
        <w:rFonts w:hint="default"/>
      </w:rPr>
    </w:lvl>
    <w:lvl w:ilvl="8">
      <w:start w:val="1"/>
      <w:numFmt w:val="none"/>
      <w:lvlRestart w:val="1"/>
      <w:suff w:val="nothing"/>
      <w:lvlText w:val=""/>
      <w:lvlJc w:val="left"/>
      <w:pPr>
        <w:ind w:left="0" w:firstLine="0"/>
      </w:pPr>
      <w:rPr>
        <w:rFonts w:hint="default"/>
        <w:b w:val="0"/>
        <w:i/>
        <w:color w:val="800000"/>
      </w:rPr>
    </w:lvl>
  </w:abstractNum>
  <w:abstractNum w:abstractNumId="33">
    <w:nsid w:val="7D267CF0"/>
    <w:multiLevelType w:val="hybridMultilevel"/>
    <w:tmpl w:val="EDEE7666"/>
    <w:lvl w:ilvl="0" w:tplc="DDCA19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17"/>
  </w:num>
  <w:num w:numId="3">
    <w:abstractNumId w:val="30"/>
  </w:num>
  <w:num w:numId="4">
    <w:abstractNumId w:val="26"/>
  </w:num>
  <w:num w:numId="5">
    <w:abstractNumId w:val="15"/>
  </w:num>
  <w:num w:numId="6">
    <w:abstractNumId w:val="8"/>
  </w:num>
  <w:num w:numId="7">
    <w:abstractNumId w:val="20"/>
  </w:num>
  <w:num w:numId="8">
    <w:abstractNumId w:val="5"/>
  </w:num>
  <w:num w:numId="9">
    <w:abstractNumId w:val="24"/>
  </w:num>
  <w:num w:numId="10">
    <w:abstractNumId w:val="13"/>
  </w:num>
  <w:num w:numId="11">
    <w:abstractNumId w:val="31"/>
  </w:num>
  <w:num w:numId="12">
    <w:abstractNumId w:val="7"/>
  </w:num>
  <w:num w:numId="13">
    <w:abstractNumId w:val="25"/>
  </w:num>
  <w:num w:numId="14">
    <w:abstractNumId w:val="22"/>
  </w:num>
  <w:num w:numId="15">
    <w:abstractNumId w:val="19"/>
  </w:num>
  <w:num w:numId="16">
    <w:abstractNumId w:val="2"/>
  </w:num>
  <w:num w:numId="17">
    <w:abstractNumId w:val="29"/>
  </w:num>
  <w:num w:numId="18">
    <w:abstractNumId w:val="6"/>
  </w:num>
  <w:num w:numId="19">
    <w:abstractNumId w:val="0"/>
  </w:num>
  <w:num w:numId="20">
    <w:abstractNumId w:val="33"/>
  </w:num>
  <w:num w:numId="21">
    <w:abstractNumId w:val="18"/>
  </w:num>
  <w:num w:numId="22">
    <w:abstractNumId w:val="23"/>
  </w:num>
  <w:num w:numId="23">
    <w:abstractNumId w:val="28"/>
  </w:num>
  <w:num w:numId="24">
    <w:abstractNumId w:val="9"/>
  </w:num>
  <w:num w:numId="25">
    <w:abstractNumId w:val="10"/>
  </w:num>
  <w:num w:numId="26">
    <w:abstractNumId w:val="14"/>
  </w:num>
  <w:num w:numId="27">
    <w:abstractNumId w:val="11"/>
  </w:num>
  <w:num w:numId="28">
    <w:abstractNumId w:val="27"/>
  </w:num>
  <w:num w:numId="29">
    <w:abstractNumId w:val="3"/>
  </w:num>
  <w:num w:numId="30">
    <w:abstractNumId w:val="16"/>
  </w:num>
  <w:num w:numId="31">
    <w:abstractNumId w:val="1"/>
  </w:num>
  <w:num w:numId="32">
    <w:abstractNumId w:val="12"/>
  </w:num>
  <w:num w:numId="33">
    <w:abstractNumId w:val="4"/>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F9B"/>
    <w:rsid w:val="00003B11"/>
    <w:rsid w:val="00021689"/>
    <w:rsid w:val="00030DB3"/>
    <w:rsid w:val="00031C55"/>
    <w:rsid w:val="0003595E"/>
    <w:rsid w:val="00053F08"/>
    <w:rsid w:val="00072710"/>
    <w:rsid w:val="00085199"/>
    <w:rsid w:val="000B16C0"/>
    <w:rsid w:val="000D0554"/>
    <w:rsid w:val="000D5377"/>
    <w:rsid w:val="000D58E8"/>
    <w:rsid w:val="000E0197"/>
    <w:rsid w:val="000F0086"/>
    <w:rsid w:val="000F3590"/>
    <w:rsid w:val="00113055"/>
    <w:rsid w:val="001261E5"/>
    <w:rsid w:val="0013073E"/>
    <w:rsid w:val="0013087A"/>
    <w:rsid w:val="00132015"/>
    <w:rsid w:val="00132AB9"/>
    <w:rsid w:val="001679ED"/>
    <w:rsid w:val="00190BDA"/>
    <w:rsid w:val="001A4C14"/>
    <w:rsid w:val="001C7AC8"/>
    <w:rsid w:val="001D5CD5"/>
    <w:rsid w:val="001E5DA0"/>
    <w:rsid w:val="001E66E5"/>
    <w:rsid w:val="001E6BAF"/>
    <w:rsid w:val="0020466B"/>
    <w:rsid w:val="00220E96"/>
    <w:rsid w:val="00223E2A"/>
    <w:rsid w:val="002246D7"/>
    <w:rsid w:val="00232773"/>
    <w:rsid w:val="00242B56"/>
    <w:rsid w:val="00262605"/>
    <w:rsid w:val="0027091B"/>
    <w:rsid w:val="00274B34"/>
    <w:rsid w:val="002756C8"/>
    <w:rsid w:val="002A019F"/>
    <w:rsid w:val="002C0DE0"/>
    <w:rsid w:val="002D4E0A"/>
    <w:rsid w:val="002E1812"/>
    <w:rsid w:val="00312E78"/>
    <w:rsid w:val="0031616B"/>
    <w:rsid w:val="00323BED"/>
    <w:rsid w:val="00337124"/>
    <w:rsid w:val="00340CD6"/>
    <w:rsid w:val="00351DC3"/>
    <w:rsid w:val="003610E5"/>
    <w:rsid w:val="00374C19"/>
    <w:rsid w:val="00375F5B"/>
    <w:rsid w:val="003A03D3"/>
    <w:rsid w:val="003A51E0"/>
    <w:rsid w:val="003B0FA8"/>
    <w:rsid w:val="003B2D70"/>
    <w:rsid w:val="003B583D"/>
    <w:rsid w:val="003B62C5"/>
    <w:rsid w:val="003B64AC"/>
    <w:rsid w:val="003C63DE"/>
    <w:rsid w:val="003E7540"/>
    <w:rsid w:val="003F633E"/>
    <w:rsid w:val="004055DE"/>
    <w:rsid w:val="00406B7B"/>
    <w:rsid w:val="00412A8D"/>
    <w:rsid w:val="00453216"/>
    <w:rsid w:val="004608E0"/>
    <w:rsid w:val="00461D36"/>
    <w:rsid w:val="00471F18"/>
    <w:rsid w:val="00474118"/>
    <w:rsid w:val="004A16C5"/>
    <w:rsid w:val="004A6F51"/>
    <w:rsid w:val="004B046B"/>
    <w:rsid w:val="004B2376"/>
    <w:rsid w:val="004B432D"/>
    <w:rsid w:val="004B69DB"/>
    <w:rsid w:val="004C5FD1"/>
    <w:rsid w:val="004D0771"/>
    <w:rsid w:val="004D69D2"/>
    <w:rsid w:val="004E2B27"/>
    <w:rsid w:val="004F3DFB"/>
    <w:rsid w:val="00500CA4"/>
    <w:rsid w:val="00533DAF"/>
    <w:rsid w:val="00554B59"/>
    <w:rsid w:val="00556487"/>
    <w:rsid w:val="00562E29"/>
    <w:rsid w:val="00566F80"/>
    <w:rsid w:val="00583158"/>
    <w:rsid w:val="00585A42"/>
    <w:rsid w:val="005865CF"/>
    <w:rsid w:val="00597B95"/>
    <w:rsid w:val="005A2503"/>
    <w:rsid w:val="005C3731"/>
    <w:rsid w:val="005C3865"/>
    <w:rsid w:val="005C5E0A"/>
    <w:rsid w:val="005D4E08"/>
    <w:rsid w:val="00605EA5"/>
    <w:rsid w:val="00617D12"/>
    <w:rsid w:val="00620054"/>
    <w:rsid w:val="00627FBF"/>
    <w:rsid w:val="00632070"/>
    <w:rsid w:val="006373F8"/>
    <w:rsid w:val="00637785"/>
    <w:rsid w:val="006420DF"/>
    <w:rsid w:val="00647754"/>
    <w:rsid w:val="0065479A"/>
    <w:rsid w:val="006563EB"/>
    <w:rsid w:val="00656A67"/>
    <w:rsid w:val="00661ACD"/>
    <w:rsid w:val="00667D6E"/>
    <w:rsid w:val="0068137A"/>
    <w:rsid w:val="006816B5"/>
    <w:rsid w:val="00690738"/>
    <w:rsid w:val="006C72F2"/>
    <w:rsid w:val="006E2D7C"/>
    <w:rsid w:val="006F31B0"/>
    <w:rsid w:val="006F661E"/>
    <w:rsid w:val="00707A81"/>
    <w:rsid w:val="00724F13"/>
    <w:rsid w:val="00732BB8"/>
    <w:rsid w:val="007611B0"/>
    <w:rsid w:val="007665D4"/>
    <w:rsid w:val="00790697"/>
    <w:rsid w:val="00790832"/>
    <w:rsid w:val="007B3E64"/>
    <w:rsid w:val="007C084E"/>
    <w:rsid w:val="007C2CD3"/>
    <w:rsid w:val="007D31BA"/>
    <w:rsid w:val="007E1EF1"/>
    <w:rsid w:val="00801ECC"/>
    <w:rsid w:val="0080516E"/>
    <w:rsid w:val="008363A1"/>
    <w:rsid w:val="00852157"/>
    <w:rsid w:val="0086036C"/>
    <w:rsid w:val="008613AE"/>
    <w:rsid w:val="0086178B"/>
    <w:rsid w:val="0086221B"/>
    <w:rsid w:val="00884D44"/>
    <w:rsid w:val="00887D0C"/>
    <w:rsid w:val="008C4B9F"/>
    <w:rsid w:val="008C6243"/>
    <w:rsid w:val="008D58DB"/>
    <w:rsid w:val="008E1A60"/>
    <w:rsid w:val="008E6C4D"/>
    <w:rsid w:val="00945EBA"/>
    <w:rsid w:val="00961F0C"/>
    <w:rsid w:val="00976FAE"/>
    <w:rsid w:val="009803B3"/>
    <w:rsid w:val="009C4F9B"/>
    <w:rsid w:val="009C6F38"/>
    <w:rsid w:val="009C6F55"/>
    <w:rsid w:val="009D6F77"/>
    <w:rsid w:val="009F15E2"/>
    <w:rsid w:val="009F3A08"/>
    <w:rsid w:val="00A142F4"/>
    <w:rsid w:val="00A55AE0"/>
    <w:rsid w:val="00A60195"/>
    <w:rsid w:val="00A6323C"/>
    <w:rsid w:val="00A865CC"/>
    <w:rsid w:val="00A91E2A"/>
    <w:rsid w:val="00AA6E34"/>
    <w:rsid w:val="00AC0046"/>
    <w:rsid w:val="00AC1890"/>
    <w:rsid w:val="00AC3EF4"/>
    <w:rsid w:val="00AC6A3E"/>
    <w:rsid w:val="00AD09BF"/>
    <w:rsid w:val="00AD0F59"/>
    <w:rsid w:val="00AF2C9D"/>
    <w:rsid w:val="00AF7209"/>
    <w:rsid w:val="00B06020"/>
    <w:rsid w:val="00B066B8"/>
    <w:rsid w:val="00B0776B"/>
    <w:rsid w:val="00B1075E"/>
    <w:rsid w:val="00B10ABB"/>
    <w:rsid w:val="00B14027"/>
    <w:rsid w:val="00B31F19"/>
    <w:rsid w:val="00B41FAD"/>
    <w:rsid w:val="00B50193"/>
    <w:rsid w:val="00B76D2B"/>
    <w:rsid w:val="00B77736"/>
    <w:rsid w:val="00B800D6"/>
    <w:rsid w:val="00B8456D"/>
    <w:rsid w:val="00BA257C"/>
    <w:rsid w:val="00BB1712"/>
    <w:rsid w:val="00BE6C44"/>
    <w:rsid w:val="00BF1F70"/>
    <w:rsid w:val="00BF3587"/>
    <w:rsid w:val="00C01B9A"/>
    <w:rsid w:val="00C06ED1"/>
    <w:rsid w:val="00C07916"/>
    <w:rsid w:val="00C4015D"/>
    <w:rsid w:val="00C479FE"/>
    <w:rsid w:val="00C61857"/>
    <w:rsid w:val="00C6655E"/>
    <w:rsid w:val="00C811C4"/>
    <w:rsid w:val="00C964A1"/>
    <w:rsid w:val="00CA785A"/>
    <w:rsid w:val="00CB08EB"/>
    <w:rsid w:val="00CC50A8"/>
    <w:rsid w:val="00D168D9"/>
    <w:rsid w:val="00D173EC"/>
    <w:rsid w:val="00D44CD3"/>
    <w:rsid w:val="00D51F56"/>
    <w:rsid w:val="00D52E0B"/>
    <w:rsid w:val="00D65313"/>
    <w:rsid w:val="00D6607E"/>
    <w:rsid w:val="00D679CE"/>
    <w:rsid w:val="00D8404F"/>
    <w:rsid w:val="00D866F7"/>
    <w:rsid w:val="00D86C63"/>
    <w:rsid w:val="00D92F35"/>
    <w:rsid w:val="00D946B3"/>
    <w:rsid w:val="00DB17AD"/>
    <w:rsid w:val="00DC7153"/>
    <w:rsid w:val="00DC7691"/>
    <w:rsid w:val="00DF2129"/>
    <w:rsid w:val="00DF3C3A"/>
    <w:rsid w:val="00DF4AC4"/>
    <w:rsid w:val="00DF7D4C"/>
    <w:rsid w:val="00E0182E"/>
    <w:rsid w:val="00E172B5"/>
    <w:rsid w:val="00E1735D"/>
    <w:rsid w:val="00E20B94"/>
    <w:rsid w:val="00E32635"/>
    <w:rsid w:val="00E41EFB"/>
    <w:rsid w:val="00E54A20"/>
    <w:rsid w:val="00E55BC1"/>
    <w:rsid w:val="00E75522"/>
    <w:rsid w:val="00E80147"/>
    <w:rsid w:val="00E90965"/>
    <w:rsid w:val="00EB0512"/>
    <w:rsid w:val="00EB05A4"/>
    <w:rsid w:val="00EB1BC8"/>
    <w:rsid w:val="00EC102E"/>
    <w:rsid w:val="00EC4EDD"/>
    <w:rsid w:val="00EF4A5B"/>
    <w:rsid w:val="00EF53F8"/>
    <w:rsid w:val="00EF6EDB"/>
    <w:rsid w:val="00F03269"/>
    <w:rsid w:val="00F14C4F"/>
    <w:rsid w:val="00F15225"/>
    <w:rsid w:val="00F25E48"/>
    <w:rsid w:val="00F4164E"/>
    <w:rsid w:val="00F464FD"/>
    <w:rsid w:val="00F5114F"/>
    <w:rsid w:val="00F52A67"/>
    <w:rsid w:val="00F53F9B"/>
    <w:rsid w:val="00F7184C"/>
    <w:rsid w:val="00F7334B"/>
    <w:rsid w:val="00F7578B"/>
    <w:rsid w:val="00F95D0C"/>
    <w:rsid w:val="00FA05B8"/>
    <w:rsid w:val="00FD48A5"/>
    <w:rsid w:val="00FE3E04"/>
    <w:rsid w:val="00FE7CE9"/>
    <w:rsid w:val="00FF71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B31F19"/>
    <w:pPr>
      <w:spacing w:after="0" w:line="240" w:lineRule="auto"/>
    </w:pPr>
    <w:rPr>
      <w:rFonts w:ascii="Arial" w:eastAsia="Times New Roman" w:hAnsi="Arial" w:cs="Times New Roman"/>
      <w:sz w:val="20"/>
      <w:szCs w:val="20"/>
      <w:lang w:val="en-AU"/>
    </w:rPr>
  </w:style>
  <w:style w:type="paragraph" w:styleId="Heading1">
    <w:name w:val="heading 1"/>
    <w:basedOn w:val="Normal"/>
    <w:next w:val="Heading2"/>
    <w:link w:val="Heading1Char"/>
    <w:qFormat/>
    <w:rsid w:val="00562E29"/>
    <w:pPr>
      <w:ind w:left="-426" w:right="275"/>
      <w:outlineLvl w:val="0"/>
    </w:pPr>
    <w:rPr>
      <w:rFonts w:eastAsia="HelveticaNeueLT Std Lt Cn" w:cs="Arial"/>
      <w:b/>
      <w:bCs/>
      <w:caps/>
      <w:sz w:val="72"/>
      <w:szCs w:val="72"/>
    </w:rPr>
  </w:style>
  <w:style w:type="paragraph" w:styleId="Heading2">
    <w:name w:val="heading 2"/>
    <w:basedOn w:val="TOCHeading"/>
    <w:next w:val="Heading3"/>
    <w:link w:val="Heading2Char"/>
    <w:qFormat/>
    <w:rsid w:val="00605EA5"/>
    <w:pPr>
      <w:pBdr>
        <w:bottom w:val="single" w:sz="6" w:space="1" w:color="auto"/>
      </w:pBdr>
      <w:spacing w:after="240"/>
      <w:ind w:left="0" w:right="374"/>
      <w:outlineLvl w:val="1"/>
    </w:pPr>
    <w:rPr>
      <w:rFonts w:ascii="Arial" w:hAnsi="Arial" w:cs="Arial"/>
      <w:color w:val="auto"/>
      <w:sz w:val="44"/>
      <w:szCs w:val="44"/>
    </w:rPr>
  </w:style>
  <w:style w:type="paragraph" w:styleId="Heading3">
    <w:name w:val="heading 3"/>
    <w:basedOn w:val="Normal"/>
    <w:next w:val="Text"/>
    <w:link w:val="Heading3Char"/>
    <w:qFormat/>
    <w:rsid w:val="00562E29"/>
    <w:pPr>
      <w:outlineLvl w:val="2"/>
    </w:pPr>
    <w:rPr>
      <w:rFonts w:cs="Arial"/>
      <w:b/>
      <w:sz w:val="28"/>
      <w:szCs w:val="28"/>
    </w:rPr>
  </w:style>
  <w:style w:type="paragraph" w:styleId="Heading4">
    <w:name w:val="heading 4"/>
    <w:basedOn w:val="Heading3"/>
    <w:next w:val="Normal"/>
    <w:link w:val="Heading4Char"/>
    <w:uiPriority w:val="9"/>
    <w:unhideWhenUsed/>
    <w:qFormat/>
    <w:rsid w:val="00562E29"/>
    <w:pPr>
      <w:outlineLvl w:val="3"/>
    </w:pPr>
    <w:rPr>
      <w:sz w:val="24"/>
      <w:szCs w:val="24"/>
    </w:rPr>
  </w:style>
  <w:style w:type="paragraph" w:styleId="Heading5">
    <w:name w:val="heading 5"/>
    <w:basedOn w:val="Normal"/>
    <w:next w:val="Text"/>
    <w:link w:val="Heading5Char"/>
    <w:qFormat/>
    <w:rsid w:val="00562E29"/>
    <w:pPr>
      <w:keepNext/>
      <w:numPr>
        <w:ilvl w:val="4"/>
        <w:numId w:val="1"/>
      </w:numPr>
      <w:spacing w:before="240" w:after="80" w:line="240" w:lineRule="atLeast"/>
      <w:ind w:right="57"/>
      <w:outlineLvl w:val="4"/>
    </w:pPr>
    <w:rPr>
      <w:b/>
      <w:iCs/>
      <w:color w:val="000000"/>
    </w:rPr>
  </w:style>
  <w:style w:type="paragraph" w:styleId="Heading6">
    <w:name w:val="heading 6"/>
    <w:basedOn w:val="Normal"/>
    <w:next w:val="Normal"/>
    <w:link w:val="Heading6Char"/>
    <w:qFormat/>
    <w:rsid w:val="00B31F19"/>
    <w:pPr>
      <w:keepNext/>
      <w:numPr>
        <w:ilvl w:val="5"/>
        <w:numId w:val="1"/>
      </w:numPr>
      <w:pBdr>
        <w:bottom w:val="single" w:sz="2" w:space="1" w:color="auto"/>
      </w:pBdr>
      <w:spacing w:before="360" w:line="240" w:lineRule="atLeast"/>
      <w:ind w:left="-2835" w:right="57"/>
      <w:outlineLvl w:val="5"/>
    </w:pPr>
    <w:rPr>
      <w:sz w:val="16"/>
    </w:rPr>
  </w:style>
  <w:style w:type="paragraph" w:styleId="Heading7">
    <w:name w:val="heading 7"/>
    <w:basedOn w:val="Text"/>
    <w:next w:val="Text"/>
    <w:link w:val="Heading7Char"/>
    <w:qFormat/>
    <w:rsid w:val="00B31F19"/>
    <w:pPr>
      <w:keepNext/>
      <w:numPr>
        <w:ilvl w:val="6"/>
        <w:numId w:val="1"/>
      </w:numPr>
      <w:pBdr>
        <w:bottom w:val="single" w:sz="2" w:space="1" w:color="auto"/>
      </w:pBdr>
      <w:spacing w:before="360" w:after="0" w:line="240" w:lineRule="atLeast"/>
      <w:ind w:right="57"/>
      <w:jc w:val="left"/>
      <w:outlineLvl w:val="6"/>
    </w:pPr>
    <w:rPr>
      <w:sz w:val="16"/>
    </w:rPr>
  </w:style>
  <w:style w:type="paragraph" w:styleId="Heading8">
    <w:name w:val="heading 8"/>
    <w:basedOn w:val="Normal"/>
    <w:next w:val="Normal"/>
    <w:link w:val="Heading8Char"/>
    <w:qFormat/>
    <w:rsid w:val="00B31F19"/>
    <w:pPr>
      <w:keepNext/>
      <w:numPr>
        <w:ilvl w:val="7"/>
        <w:numId w:val="1"/>
      </w:numPr>
      <w:pBdr>
        <w:bottom w:val="single" w:sz="4" w:space="1" w:color="auto"/>
      </w:pBdr>
      <w:spacing w:before="360" w:line="240" w:lineRule="atLeast"/>
      <w:ind w:right="57"/>
      <w:outlineLvl w:val="7"/>
    </w:pPr>
    <w:rPr>
      <w:sz w:val="16"/>
    </w:rPr>
  </w:style>
  <w:style w:type="paragraph" w:styleId="Heading9">
    <w:name w:val="heading 9"/>
    <w:basedOn w:val="Heading1"/>
    <w:next w:val="Text"/>
    <w:link w:val="Heading9Char"/>
    <w:qFormat/>
    <w:rsid w:val="00FA05B8"/>
    <w:pPr>
      <w:numPr>
        <w:ilvl w:val="8"/>
        <w:numId w:val="9"/>
      </w:numPr>
      <w:spacing w:before="240" w:after="60"/>
      <w:outlineLvl w:val="8"/>
    </w:pPr>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62E29"/>
    <w:rPr>
      <w:rFonts w:ascii="Arial" w:eastAsia="HelveticaNeueLT Std Lt Cn" w:hAnsi="Arial" w:cs="Arial"/>
      <w:b/>
      <w:bCs/>
      <w:caps/>
      <w:sz w:val="72"/>
      <w:szCs w:val="72"/>
      <w:lang w:val="en-AU"/>
    </w:rPr>
  </w:style>
  <w:style w:type="character" w:customStyle="1" w:styleId="Heading2Char">
    <w:name w:val="Heading 2 Char"/>
    <w:basedOn w:val="DefaultParagraphFont"/>
    <w:link w:val="Heading2"/>
    <w:rsid w:val="00605EA5"/>
    <w:rPr>
      <w:rFonts w:ascii="Arial" w:eastAsia="Times New Roman" w:hAnsi="Arial" w:cs="Arial"/>
      <w:sz w:val="44"/>
      <w:szCs w:val="44"/>
      <w:lang w:val="en-AU"/>
    </w:rPr>
  </w:style>
  <w:style w:type="character" w:customStyle="1" w:styleId="Heading3Char">
    <w:name w:val="Heading 3 Char"/>
    <w:basedOn w:val="DefaultParagraphFont"/>
    <w:link w:val="Heading3"/>
    <w:rsid w:val="00562E29"/>
    <w:rPr>
      <w:rFonts w:ascii="Arial" w:eastAsia="Times New Roman" w:hAnsi="Arial" w:cs="Arial"/>
      <w:b/>
      <w:sz w:val="28"/>
      <w:szCs w:val="28"/>
      <w:lang w:val="en-AU"/>
    </w:rPr>
  </w:style>
  <w:style w:type="character" w:customStyle="1" w:styleId="Heading5Char">
    <w:name w:val="Heading 5 Char"/>
    <w:basedOn w:val="DefaultParagraphFont"/>
    <w:link w:val="Heading5"/>
    <w:rsid w:val="00562E29"/>
    <w:rPr>
      <w:rFonts w:ascii="Arial" w:eastAsia="Times New Roman" w:hAnsi="Arial" w:cs="Times New Roman"/>
      <w:b/>
      <w:iCs/>
      <w:color w:val="000000"/>
      <w:sz w:val="20"/>
      <w:szCs w:val="20"/>
      <w:lang w:val="en-AU"/>
    </w:rPr>
  </w:style>
  <w:style w:type="character" w:customStyle="1" w:styleId="Heading6Char">
    <w:name w:val="Heading 6 Char"/>
    <w:basedOn w:val="DefaultParagraphFont"/>
    <w:link w:val="Heading6"/>
    <w:rsid w:val="00B31F19"/>
    <w:rPr>
      <w:rFonts w:ascii="Arial" w:eastAsia="Times New Roman" w:hAnsi="Arial" w:cs="Times New Roman"/>
      <w:sz w:val="16"/>
      <w:szCs w:val="20"/>
      <w:lang w:val="en-AU"/>
    </w:rPr>
  </w:style>
  <w:style w:type="character" w:customStyle="1" w:styleId="Heading7Char">
    <w:name w:val="Heading 7 Char"/>
    <w:basedOn w:val="DefaultParagraphFont"/>
    <w:link w:val="Heading7"/>
    <w:rsid w:val="00B31F19"/>
    <w:rPr>
      <w:rFonts w:ascii="Arial" w:eastAsia="Times New Roman" w:hAnsi="Arial" w:cs="Times New Roman"/>
      <w:sz w:val="16"/>
      <w:szCs w:val="20"/>
      <w:lang w:val="en-AU"/>
    </w:rPr>
  </w:style>
  <w:style w:type="character" w:customStyle="1" w:styleId="Heading8Char">
    <w:name w:val="Heading 8 Char"/>
    <w:basedOn w:val="DefaultParagraphFont"/>
    <w:link w:val="Heading8"/>
    <w:rsid w:val="00B31F19"/>
    <w:rPr>
      <w:rFonts w:ascii="Arial" w:eastAsia="Times New Roman" w:hAnsi="Arial" w:cs="Times New Roman"/>
      <w:sz w:val="16"/>
      <w:szCs w:val="20"/>
      <w:lang w:val="en-AU"/>
    </w:rPr>
  </w:style>
  <w:style w:type="paragraph" w:styleId="TOCHeading">
    <w:name w:val="TOC Heading"/>
    <w:basedOn w:val="Normal"/>
    <w:qFormat/>
    <w:rsid w:val="00B31F19"/>
    <w:pPr>
      <w:keepNext/>
      <w:spacing w:before="360" w:after="1600" w:line="240" w:lineRule="atLeast"/>
      <w:ind w:left="-2694" w:right="373"/>
    </w:pPr>
    <w:rPr>
      <w:rFonts w:ascii="Times New Roman" w:hAnsi="Times New Roman"/>
      <w:color w:val="800000"/>
      <w:sz w:val="36"/>
    </w:rPr>
  </w:style>
  <w:style w:type="paragraph" w:styleId="TOC1">
    <w:name w:val="toc 1"/>
    <w:basedOn w:val="Normal"/>
    <w:next w:val="Normal"/>
    <w:autoRedefine/>
    <w:uiPriority w:val="39"/>
    <w:rsid w:val="00AF7209"/>
    <w:pPr>
      <w:pBdr>
        <w:top w:val="single" w:sz="2" w:space="1" w:color="auto"/>
      </w:pBdr>
      <w:tabs>
        <w:tab w:val="right" w:pos="7088"/>
      </w:tabs>
      <w:spacing w:before="300"/>
      <w:ind w:right="374"/>
    </w:pPr>
    <w:rPr>
      <w:rFonts w:ascii="Times New Roman" w:hAnsi="Times New Roman"/>
      <w:noProof/>
      <w:sz w:val="22"/>
    </w:rPr>
  </w:style>
  <w:style w:type="paragraph" w:styleId="TOC2">
    <w:name w:val="toc 2"/>
    <w:basedOn w:val="TOC1"/>
    <w:autoRedefine/>
    <w:uiPriority w:val="39"/>
    <w:rsid w:val="00B31F19"/>
    <w:pPr>
      <w:pBdr>
        <w:top w:val="none" w:sz="0" w:space="0" w:color="auto"/>
      </w:pBdr>
      <w:spacing w:before="0" w:after="40"/>
    </w:pPr>
    <w:rPr>
      <w:i/>
      <w:sz w:val="24"/>
    </w:rPr>
  </w:style>
  <w:style w:type="paragraph" w:styleId="TOC3">
    <w:name w:val="toc 3"/>
    <w:basedOn w:val="Normal"/>
    <w:next w:val="Normal"/>
    <w:autoRedefine/>
    <w:uiPriority w:val="39"/>
    <w:rsid w:val="00B31F19"/>
    <w:pPr>
      <w:pBdr>
        <w:top w:val="single" w:sz="2" w:space="1" w:color="auto"/>
        <w:between w:val="single" w:sz="2" w:space="1" w:color="auto"/>
      </w:pBdr>
      <w:tabs>
        <w:tab w:val="right" w:pos="7088"/>
      </w:tabs>
      <w:spacing w:after="40" w:line="240" w:lineRule="atLeast"/>
      <w:ind w:left="709" w:right="373" w:hanging="426"/>
    </w:pPr>
    <w:rPr>
      <w:noProof/>
    </w:rPr>
  </w:style>
  <w:style w:type="paragraph" w:customStyle="1" w:styleId="Text">
    <w:name w:val="Text"/>
    <w:basedOn w:val="Normal"/>
    <w:rsid w:val="00B31F19"/>
    <w:pPr>
      <w:keepLines/>
      <w:spacing w:after="180" w:line="270" w:lineRule="exact"/>
      <w:ind w:left="-2835"/>
      <w:jc w:val="both"/>
    </w:pPr>
  </w:style>
  <w:style w:type="character" w:styleId="PageNumber">
    <w:name w:val="page number"/>
    <w:basedOn w:val="DefaultParagraphFont"/>
    <w:rsid w:val="00B31F19"/>
  </w:style>
  <w:style w:type="paragraph" w:styleId="Footer">
    <w:name w:val="footer"/>
    <w:basedOn w:val="Normal"/>
    <w:link w:val="FooterChar"/>
    <w:rsid w:val="00B31F19"/>
    <w:pPr>
      <w:tabs>
        <w:tab w:val="center" w:pos="4320"/>
        <w:tab w:val="right" w:pos="8640"/>
      </w:tabs>
    </w:pPr>
  </w:style>
  <w:style w:type="character" w:customStyle="1" w:styleId="FooterChar">
    <w:name w:val="Footer Char"/>
    <w:basedOn w:val="DefaultParagraphFont"/>
    <w:link w:val="Footer"/>
    <w:rsid w:val="00B31F19"/>
    <w:rPr>
      <w:rFonts w:ascii="Arial" w:eastAsia="Times New Roman" w:hAnsi="Arial" w:cs="Times New Roman"/>
      <w:sz w:val="20"/>
      <w:szCs w:val="20"/>
      <w:lang w:val="en-AU"/>
    </w:rPr>
  </w:style>
  <w:style w:type="paragraph" w:styleId="Header">
    <w:name w:val="header"/>
    <w:basedOn w:val="Normal"/>
    <w:link w:val="HeaderChar"/>
    <w:rsid w:val="00B31F19"/>
    <w:pPr>
      <w:pBdr>
        <w:bottom w:val="single" w:sz="4" w:space="1" w:color="auto"/>
      </w:pBdr>
      <w:tabs>
        <w:tab w:val="center" w:pos="3969"/>
        <w:tab w:val="right" w:pos="8460"/>
      </w:tabs>
      <w:spacing w:after="40" w:line="280" w:lineRule="atLeast"/>
      <w:ind w:left="-2835"/>
      <w:jc w:val="both"/>
    </w:pPr>
    <w:rPr>
      <w:rFonts w:ascii="Times New Roman" w:hAnsi="Times New Roman"/>
      <w:smallCaps/>
      <w:spacing w:val="40"/>
      <w:sz w:val="16"/>
    </w:rPr>
  </w:style>
  <w:style w:type="character" w:customStyle="1" w:styleId="HeaderChar">
    <w:name w:val="Header Char"/>
    <w:basedOn w:val="DefaultParagraphFont"/>
    <w:link w:val="Header"/>
    <w:rsid w:val="00B31F19"/>
    <w:rPr>
      <w:rFonts w:ascii="Times New Roman" w:eastAsia="Times New Roman" w:hAnsi="Times New Roman" w:cs="Times New Roman"/>
      <w:smallCaps/>
      <w:spacing w:val="40"/>
      <w:sz w:val="16"/>
      <w:szCs w:val="20"/>
      <w:lang w:val="en-AU"/>
    </w:rPr>
  </w:style>
  <w:style w:type="paragraph" w:customStyle="1" w:styleId="Heading4Numbered">
    <w:name w:val="Heading4Numbered"/>
    <w:basedOn w:val="Normal"/>
    <w:rsid w:val="00B31F19"/>
    <w:pPr>
      <w:keepNext/>
      <w:keepLines/>
      <w:numPr>
        <w:ilvl w:val="3"/>
        <w:numId w:val="1"/>
      </w:numPr>
      <w:spacing w:before="240" w:after="180" w:line="240" w:lineRule="atLeast"/>
      <w:ind w:right="57"/>
    </w:pPr>
    <w:rPr>
      <w:b/>
      <w:i/>
      <w:color w:val="800000"/>
    </w:rPr>
  </w:style>
  <w:style w:type="paragraph" w:customStyle="1" w:styleId="TitleShort">
    <w:name w:val="Title Short"/>
    <w:basedOn w:val="Normal"/>
    <w:qFormat/>
    <w:rsid w:val="00E172B5"/>
    <w:pPr>
      <w:widowControl w:val="0"/>
      <w:ind w:left="-426"/>
    </w:pPr>
    <w:rPr>
      <w:rFonts w:eastAsia="HelveticaNeueLT Std Lt Cn"/>
      <w:b/>
      <w:bCs/>
      <w:caps/>
      <w:sz w:val="40"/>
      <w:szCs w:val="40"/>
    </w:rPr>
  </w:style>
  <w:style w:type="paragraph" w:customStyle="1" w:styleId="AACHeader">
    <w:name w:val="AACHeader"/>
    <w:basedOn w:val="Header"/>
    <w:rsid w:val="00B31F19"/>
    <w:pPr>
      <w:pBdr>
        <w:top w:val="single" w:sz="6" w:space="2" w:color="A6A6A6"/>
        <w:bottom w:val="none" w:sz="0" w:space="0" w:color="auto"/>
      </w:pBdr>
      <w:tabs>
        <w:tab w:val="clear" w:pos="3969"/>
        <w:tab w:val="clear" w:pos="8460"/>
        <w:tab w:val="left" w:pos="567"/>
      </w:tabs>
      <w:spacing w:after="0" w:line="240" w:lineRule="auto"/>
      <w:ind w:left="-2268"/>
      <w:jc w:val="right"/>
    </w:pPr>
    <w:rPr>
      <w:rFonts w:ascii="Novecento Book" w:hAnsi="Novecento Book"/>
      <w:b/>
      <w:smallCaps w:val="0"/>
      <w:noProof/>
      <w:spacing w:val="22"/>
      <w:sz w:val="14"/>
      <w:szCs w:val="14"/>
      <w:lang w:eastAsia="en-AU"/>
    </w:rPr>
  </w:style>
  <w:style w:type="character" w:styleId="Hyperlink">
    <w:name w:val="Hyperlink"/>
    <w:rsid w:val="00B31F19"/>
    <w:rPr>
      <w:rFonts w:ascii="Verdana" w:hAnsi="Verdana" w:hint="default"/>
      <w:b/>
      <w:color w:val="000000"/>
      <w:sz w:val="14"/>
      <w:u w:val="single"/>
      <w:shd w:val="clear" w:color="auto" w:fill="auto"/>
    </w:rPr>
  </w:style>
  <w:style w:type="paragraph" w:customStyle="1" w:styleId="ExecBox">
    <w:name w:val="Exec Box"/>
    <w:basedOn w:val="Normal"/>
    <w:rsid w:val="00B31F19"/>
    <w:pPr>
      <w:keepNext/>
      <w:numPr>
        <w:ilvl w:val="1"/>
        <w:numId w:val="2"/>
      </w:numPr>
      <w:pBdr>
        <w:bottom w:val="single" w:sz="2" w:space="1" w:color="auto"/>
      </w:pBdr>
      <w:spacing w:before="360" w:line="240" w:lineRule="atLeast"/>
      <w:ind w:right="57"/>
    </w:pPr>
    <w:rPr>
      <w:sz w:val="16"/>
    </w:rPr>
  </w:style>
  <w:style w:type="paragraph" w:customStyle="1" w:styleId="ExecFigure">
    <w:name w:val="ExecFigure"/>
    <w:basedOn w:val="Normal"/>
    <w:rsid w:val="00B31F19"/>
    <w:pPr>
      <w:keepNext/>
      <w:numPr>
        <w:numId w:val="2"/>
      </w:numPr>
      <w:pBdr>
        <w:bottom w:val="single" w:sz="2" w:space="1" w:color="auto"/>
      </w:pBdr>
      <w:spacing w:before="360" w:line="240" w:lineRule="atLeast"/>
      <w:ind w:right="57"/>
    </w:pPr>
    <w:rPr>
      <w:sz w:val="16"/>
    </w:rPr>
  </w:style>
  <w:style w:type="paragraph" w:customStyle="1" w:styleId="ExecTable">
    <w:name w:val="Exec Table"/>
    <w:basedOn w:val="Normal"/>
    <w:rsid w:val="00B31F19"/>
    <w:pPr>
      <w:keepNext/>
      <w:numPr>
        <w:ilvl w:val="2"/>
        <w:numId w:val="2"/>
      </w:numPr>
      <w:pBdr>
        <w:bottom w:val="single" w:sz="2" w:space="1" w:color="auto"/>
      </w:pBdr>
      <w:spacing w:before="360" w:line="240" w:lineRule="atLeast"/>
      <w:ind w:right="57"/>
    </w:pPr>
    <w:rPr>
      <w:sz w:val="16"/>
    </w:rPr>
  </w:style>
  <w:style w:type="paragraph" w:styleId="ListParagraph">
    <w:name w:val="List Paragraph"/>
    <w:basedOn w:val="Normal"/>
    <w:uiPriority w:val="34"/>
    <w:qFormat/>
    <w:rsid w:val="00B31F19"/>
    <w:pPr>
      <w:ind w:left="720"/>
      <w:contextualSpacing/>
    </w:pPr>
  </w:style>
  <w:style w:type="character" w:customStyle="1" w:styleId="Heading4Char">
    <w:name w:val="Heading 4 Char"/>
    <w:basedOn w:val="DefaultParagraphFont"/>
    <w:link w:val="Heading4"/>
    <w:uiPriority w:val="9"/>
    <w:rsid w:val="00562E29"/>
    <w:rPr>
      <w:rFonts w:ascii="Arial" w:eastAsia="Times New Roman" w:hAnsi="Arial" w:cs="Arial"/>
      <w:b/>
      <w:sz w:val="24"/>
      <w:szCs w:val="24"/>
      <w:lang w:val="en-AU"/>
    </w:rPr>
  </w:style>
  <w:style w:type="paragraph" w:customStyle="1" w:styleId="TextDotPoint">
    <w:name w:val="Text Dot Point"/>
    <w:basedOn w:val="Text"/>
    <w:rsid w:val="00F25E48"/>
    <w:pPr>
      <w:numPr>
        <w:numId w:val="8"/>
      </w:numPr>
      <w:spacing w:after="160"/>
    </w:pPr>
  </w:style>
  <w:style w:type="character" w:customStyle="1" w:styleId="Heading9Char">
    <w:name w:val="Heading 9 Char"/>
    <w:basedOn w:val="DefaultParagraphFont"/>
    <w:link w:val="Heading9"/>
    <w:rsid w:val="00FA05B8"/>
    <w:rPr>
      <w:rFonts w:ascii="Times New Roman" w:eastAsia="Times New Roman" w:hAnsi="Times New Roman" w:cs="Times New Roman"/>
      <w:b/>
      <w:iCs/>
      <w:sz w:val="28"/>
      <w:szCs w:val="28"/>
      <w:lang w:val="en-AU"/>
    </w:rPr>
  </w:style>
  <w:style w:type="paragraph" w:customStyle="1" w:styleId="TableHeads">
    <w:name w:val="Table Heads"/>
    <w:basedOn w:val="Normal"/>
    <w:rsid w:val="00FA05B8"/>
    <w:pPr>
      <w:keepNext/>
      <w:spacing w:before="80" w:after="80"/>
      <w:jc w:val="center"/>
    </w:pPr>
    <w:rPr>
      <w:b/>
      <w:sz w:val="18"/>
    </w:rPr>
  </w:style>
  <w:style w:type="paragraph" w:customStyle="1" w:styleId="TableText">
    <w:name w:val="Table Text"/>
    <w:basedOn w:val="Normal"/>
    <w:rsid w:val="00FA05B8"/>
    <w:pPr>
      <w:keepNext/>
      <w:spacing w:before="60" w:after="60"/>
      <w:ind w:left="-2835" w:right="57"/>
    </w:pPr>
    <w:rPr>
      <w:sz w:val="18"/>
    </w:rPr>
  </w:style>
  <w:style w:type="paragraph" w:customStyle="1" w:styleId="TableTitle">
    <w:name w:val="Table Title"/>
    <w:basedOn w:val="Normal"/>
    <w:rsid w:val="00FA05B8"/>
    <w:pPr>
      <w:keepNext/>
      <w:spacing w:after="160" w:line="240" w:lineRule="atLeast"/>
      <w:ind w:left="-2835" w:right="57"/>
    </w:pPr>
    <w:rPr>
      <w:b/>
      <w:caps/>
      <w:sz w:val="18"/>
    </w:rPr>
  </w:style>
  <w:style w:type="paragraph" w:customStyle="1" w:styleId="AppendixHeading">
    <w:name w:val="AppendixHeading"/>
    <w:next w:val="AppendixHeading2"/>
    <w:rsid w:val="00FA05B8"/>
    <w:pPr>
      <w:keepNext/>
      <w:pageBreakBefore/>
      <w:numPr>
        <w:numId w:val="9"/>
      </w:numPr>
      <w:spacing w:before="100" w:after="120" w:line="240" w:lineRule="atLeast"/>
      <w:ind w:right="57"/>
      <w:outlineLvl w:val="0"/>
    </w:pPr>
    <w:rPr>
      <w:rFonts w:ascii="Times New Roman" w:eastAsia="Times New Roman" w:hAnsi="Times New Roman" w:cs="Times New Roman"/>
      <w:i/>
      <w:color w:val="800000"/>
      <w:sz w:val="28"/>
      <w:szCs w:val="20"/>
      <w:lang w:val="en-AU"/>
    </w:rPr>
  </w:style>
  <w:style w:type="paragraph" w:customStyle="1" w:styleId="AppendixHeading2">
    <w:name w:val="AppendixHeading2"/>
    <w:next w:val="AppendixHeading3"/>
    <w:rsid w:val="00FA05B8"/>
    <w:pPr>
      <w:keepNext/>
      <w:numPr>
        <w:ilvl w:val="1"/>
        <w:numId w:val="9"/>
      </w:numPr>
      <w:spacing w:after="600" w:line="240" w:lineRule="auto"/>
      <w:ind w:right="57"/>
      <w:outlineLvl w:val="1"/>
    </w:pPr>
    <w:rPr>
      <w:rFonts w:ascii="Times New Roman" w:eastAsia="Times New Roman" w:hAnsi="Times New Roman" w:cs="Times New Roman"/>
      <w:color w:val="800000"/>
      <w:sz w:val="36"/>
      <w:szCs w:val="20"/>
      <w:lang w:val="en-AU"/>
    </w:rPr>
  </w:style>
  <w:style w:type="paragraph" w:customStyle="1" w:styleId="AppendixHeading3">
    <w:name w:val="AppendixHeading3"/>
    <w:next w:val="Text"/>
    <w:rsid w:val="00FA05B8"/>
    <w:pPr>
      <w:keepNext/>
      <w:numPr>
        <w:ilvl w:val="2"/>
        <w:numId w:val="9"/>
      </w:numPr>
      <w:spacing w:before="300" w:after="180" w:line="280" w:lineRule="atLeast"/>
      <w:ind w:right="57"/>
      <w:outlineLvl w:val="2"/>
    </w:pPr>
    <w:rPr>
      <w:rFonts w:ascii="Arial" w:eastAsia="Times New Roman" w:hAnsi="Arial" w:cs="Times New Roman"/>
      <w:b/>
      <w:color w:val="800000"/>
      <w:sz w:val="21"/>
      <w:szCs w:val="20"/>
      <w:lang w:val="en-AU"/>
    </w:rPr>
  </w:style>
  <w:style w:type="paragraph" w:customStyle="1" w:styleId="AppendixHeading4">
    <w:name w:val="AppendixHeading4"/>
    <w:next w:val="Text"/>
    <w:rsid w:val="00FA05B8"/>
    <w:pPr>
      <w:keepNext/>
      <w:keepLines/>
      <w:numPr>
        <w:ilvl w:val="3"/>
        <w:numId w:val="9"/>
      </w:numPr>
      <w:spacing w:before="240" w:after="180" w:line="240" w:lineRule="atLeast"/>
      <w:ind w:right="57"/>
      <w:jc w:val="both"/>
      <w:outlineLvl w:val="3"/>
    </w:pPr>
    <w:rPr>
      <w:rFonts w:ascii="Arial" w:eastAsia="Times New Roman" w:hAnsi="Arial" w:cs="Times New Roman"/>
      <w:b/>
      <w:i/>
      <w:color w:val="800000"/>
      <w:sz w:val="20"/>
      <w:szCs w:val="20"/>
      <w:lang w:val="en-AU"/>
    </w:rPr>
  </w:style>
  <w:style w:type="paragraph" w:customStyle="1" w:styleId="AppendixHeading6">
    <w:name w:val="AppendixHeading6"/>
    <w:next w:val="Text"/>
    <w:rsid w:val="00FA05B8"/>
    <w:pPr>
      <w:keepNext/>
      <w:numPr>
        <w:ilvl w:val="5"/>
        <w:numId w:val="9"/>
      </w:numPr>
      <w:pBdr>
        <w:bottom w:val="single" w:sz="2" w:space="1" w:color="auto"/>
      </w:pBdr>
      <w:spacing w:before="360" w:after="0" w:line="240" w:lineRule="atLeast"/>
      <w:ind w:right="57"/>
      <w:outlineLvl w:val="5"/>
    </w:pPr>
    <w:rPr>
      <w:rFonts w:ascii="Arial" w:eastAsia="Times New Roman" w:hAnsi="Arial" w:cs="Times New Roman"/>
      <w:sz w:val="16"/>
      <w:szCs w:val="20"/>
      <w:lang w:val="en-AU"/>
    </w:rPr>
  </w:style>
  <w:style w:type="paragraph" w:customStyle="1" w:styleId="AppendixHeading7">
    <w:name w:val="AppendixHeading7"/>
    <w:next w:val="Text"/>
    <w:rsid w:val="00FA05B8"/>
    <w:pPr>
      <w:keepNext/>
      <w:keepLines/>
      <w:numPr>
        <w:ilvl w:val="6"/>
        <w:numId w:val="9"/>
      </w:numPr>
      <w:pBdr>
        <w:bottom w:val="single" w:sz="2" w:space="0" w:color="auto"/>
      </w:pBdr>
      <w:spacing w:before="360" w:after="0" w:line="240" w:lineRule="atLeast"/>
      <w:ind w:right="57"/>
      <w:outlineLvl w:val="6"/>
    </w:pPr>
    <w:rPr>
      <w:rFonts w:ascii="Arial" w:eastAsia="Times New Roman" w:hAnsi="Arial" w:cs="Times New Roman"/>
      <w:sz w:val="16"/>
      <w:szCs w:val="20"/>
      <w:lang w:val="en-AU"/>
    </w:rPr>
  </w:style>
  <w:style w:type="paragraph" w:customStyle="1" w:styleId="AppendixHeading8">
    <w:name w:val="AppendixHeading8"/>
    <w:next w:val="Text"/>
    <w:rsid w:val="00FA05B8"/>
    <w:pPr>
      <w:keepNext/>
      <w:numPr>
        <w:ilvl w:val="7"/>
        <w:numId w:val="9"/>
      </w:numPr>
      <w:pBdr>
        <w:bottom w:val="single" w:sz="2" w:space="1" w:color="auto"/>
      </w:pBdr>
      <w:spacing w:before="360" w:after="0" w:line="240" w:lineRule="atLeast"/>
      <w:ind w:right="57"/>
      <w:outlineLvl w:val="7"/>
    </w:pPr>
    <w:rPr>
      <w:rFonts w:ascii="Arial" w:eastAsia="Times New Roman" w:hAnsi="Arial" w:cs="Times New Roman"/>
      <w:sz w:val="16"/>
      <w:szCs w:val="20"/>
      <w:lang w:val="en-AU"/>
    </w:rPr>
  </w:style>
  <w:style w:type="paragraph" w:customStyle="1" w:styleId="AppendixHeading5notUsed">
    <w:name w:val="AppendixHeading5_notUsed"/>
    <w:basedOn w:val="Normal"/>
    <w:rsid w:val="00FA05B8"/>
    <w:pPr>
      <w:numPr>
        <w:ilvl w:val="4"/>
        <w:numId w:val="9"/>
      </w:numPr>
    </w:pPr>
  </w:style>
  <w:style w:type="table" w:styleId="TableGrid">
    <w:name w:val="Table Grid"/>
    <w:basedOn w:val="TableNormal"/>
    <w:rsid w:val="00274B34"/>
    <w:pPr>
      <w:spacing w:after="0" w:line="240" w:lineRule="auto"/>
    </w:pPr>
    <w:rPr>
      <w:rFonts w:ascii="Times New Roman" w:eastAsia="Times New Roman" w:hAnsi="Times New Roma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DotPoint">
    <w:name w:val="TableTextDotPoint"/>
    <w:basedOn w:val="TableText"/>
    <w:rsid w:val="00312E78"/>
    <w:pPr>
      <w:numPr>
        <w:numId w:val="28"/>
      </w:numPr>
      <w:tabs>
        <w:tab w:val="left" w:pos="357"/>
      </w:tabs>
    </w:pPr>
  </w:style>
  <w:style w:type="paragraph" w:customStyle="1" w:styleId="BoxDotStyle">
    <w:name w:val="BoxDotStyle"/>
    <w:basedOn w:val="Normal"/>
    <w:rsid w:val="00312E78"/>
    <w:pPr>
      <w:numPr>
        <w:numId w:val="27"/>
      </w:numPr>
      <w:spacing w:before="60" w:after="60"/>
      <w:jc w:val="both"/>
    </w:pPr>
    <w:rPr>
      <w:sz w:val="18"/>
    </w:rPr>
  </w:style>
  <w:style w:type="paragraph" w:customStyle="1" w:styleId="TableSource">
    <w:name w:val="Table Source"/>
    <w:basedOn w:val="Text"/>
    <w:next w:val="Text"/>
    <w:rsid w:val="0020466B"/>
    <w:pPr>
      <w:keepLines w:val="0"/>
      <w:pBdr>
        <w:bottom w:val="single" w:sz="2" w:space="1" w:color="auto"/>
      </w:pBdr>
      <w:spacing w:before="120" w:after="600" w:line="240" w:lineRule="auto"/>
      <w:ind w:right="57"/>
    </w:pPr>
    <w:rPr>
      <w:sz w:val="16"/>
    </w:rPr>
  </w:style>
  <w:style w:type="paragraph" w:styleId="BalloonText">
    <w:name w:val="Balloon Text"/>
    <w:basedOn w:val="Normal"/>
    <w:link w:val="BalloonTextChar"/>
    <w:uiPriority w:val="99"/>
    <w:semiHidden/>
    <w:unhideWhenUsed/>
    <w:rsid w:val="00884D44"/>
    <w:rPr>
      <w:rFonts w:ascii="Tahoma" w:hAnsi="Tahoma" w:cs="Tahoma"/>
      <w:sz w:val="16"/>
      <w:szCs w:val="16"/>
    </w:rPr>
  </w:style>
  <w:style w:type="character" w:customStyle="1" w:styleId="BalloonTextChar">
    <w:name w:val="Balloon Text Char"/>
    <w:basedOn w:val="DefaultParagraphFont"/>
    <w:link w:val="BalloonText"/>
    <w:uiPriority w:val="99"/>
    <w:semiHidden/>
    <w:rsid w:val="00884D44"/>
    <w:rPr>
      <w:rFonts w:ascii="Tahoma" w:eastAsia="Times New Roman" w:hAnsi="Tahoma" w:cs="Tahoma"/>
      <w:sz w:val="16"/>
      <w:szCs w:val="16"/>
      <w:lang w:val="en-AU"/>
    </w:rPr>
  </w:style>
  <w:style w:type="character" w:styleId="FollowedHyperlink">
    <w:name w:val="FollowedHyperlink"/>
    <w:basedOn w:val="DefaultParagraphFont"/>
    <w:uiPriority w:val="99"/>
    <w:semiHidden/>
    <w:unhideWhenUsed/>
    <w:rsid w:val="001C7AC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B31F19"/>
    <w:pPr>
      <w:spacing w:after="0" w:line="240" w:lineRule="auto"/>
    </w:pPr>
    <w:rPr>
      <w:rFonts w:ascii="Arial" w:eastAsia="Times New Roman" w:hAnsi="Arial" w:cs="Times New Roman"/>
      <w:sz w:val="20"/>
      <w:szCs w:val="20"/>
      <w:lang w:val="en-AU"/>
    </w:rPr>
  </w:style>
  <w:style w:type="paragraph" w:styleId="Heading1">
    <w:name w:val="heading 1"/>
    <w:basedOn w:val="Normal"/>
    <w:next w:val="Heading2"/>
    <w:link w:val="Heading1Char"/>
    <w:qFormat/>
    <w:rsid w:val="00562E29"/>
    <w:pPr>
      <w:ind w:left="-426" w:right="275"/>
      <w:outlineLvl w:val="0"/>
    </w:pPr>
    <w:rPr>
      <w:rFonts w:eastAsia="HelveticaNeueLT Std Lt Cn" w:cs="Arial"/>
      <w:b/>
      <w:bCs/>
      <w:caps/>
      <w:sz w:val="72"/>
      <w:szCs w:val="72"/>
    </w:rPr>
  </w:style>
  <w:style w:type="paragraph" w:styleId="Heading2">
    <w:name w:val="heading 2"/>
    <w:basedOn w:val="TOCHeading"/>
    <w:next w:val="Heading3"/>
    <w:link w:val="Heading2Char"/>
    <w:qFormat/>
    <w:rsid w:val="00605EA5"/>
    <w:pPr>
      <w:pBdr>
        <w:bottom w:val="single" w:sz="6" w:space="1" w:color="auto"/>
      </w:pBdr>
      <w:spacing w:after="240"/>
      <w:ind w:left="0" w:right="374"/>
      <w:outlineLvl w:val="1"/>
    </w:pPr>
    <w:rPr>
      <w:rFonts w:ascii="Arial" w:hAnsi="Arial" w:cs="Arial"/>
      <w:color w:val="auto"/>
      <w:sz w:val="44"/>
      <w:szCs w:val="44"/>
    </w:rPr>
  </w:style>
  <w:style w:type="paragraph" w:styleId="Heading3">
    <w:name w:val="heading 3"/>
    <w:basedOn w:val="Normal"/>
    <w:next w:val="Text"/>
    <w:link w:val="Heading3Char"/>
    <w:qFormat/>
    <w:rsid w:val="00562E29"/>
    <w:pPr>
      <w:outlineLvl w:val="2"/>
    </w:pPr>
    <w:rPr>
      <w:rFonts w:cs="Arial"/>
      <w:b/>
      <w:sz w:val="28"/>
      <w:szCs w:val="28"/>
    </w:rPr>
  </w:style>
  <w:style w:type="paragraph" w:styleId="Heading4">
    <w:name w:val="heading 4"/>
    <w:basedOn w:val="Heading3"/>
    <w:next w:val="Normal"/>
    <w:link w:val="Heading4Char"/>
    <w:uiPriority w:val="9"/>
    <w:unhideWhenUsed/>
    <w:qFormat/>
    <w:rsid w:val="00562E29"/>
    <w:pPr>
      <w:outlineLvl w:val="3"/>
    </w:pPr>
    <w:rPr>
      <w:sz w:val="24"/>
      <w:szCs w:val="24"/>
    </w:rPr>
  </w:style>
  <w:style w:type="paragraph" w:styleId="Heading5">
    <w:name w:val="heading 5"/>
    <w:basedOn w:val="Normal"/>
    <w:next w:val="Text"/>
    <w:link w:val="Heading5Char"/>
    <w:qFormat/>
    <w:rsid w:val="00562E29"/>
    <w:pPr>
      <w:keepNext/>
      <w:numPr>
        <w:ilvl w:val="4"/>
        <w:numId w:val="1"/>
      </w:numPr>
      <w:spacing w:before="240" w:after="80" w:line="240" w:lineRule="atLeast"/>
      <w:ind w:right="57"/>
      <w:outlineLvl w:val="4"/>
    </w:pPr>
    <w:rPr>
      <w:b/>
      <w:iCs/>
      <w:color w:val="000000"/>
    </w:rPr>
  </w:style>
  <w:style w:type="paragraph" w:styleId="Heading6">
    <w:name w:val="heading 6"/>
    <w:basedOn w:val="Normal"/>
    <w:next w:val="Normal"/>
    <w:link w:val="Heading6Char"/>
    <w:qFormat/>
    <w:rsid w:val="00B31F19"/>
    <w:pPr>
      <w:keepNext/>
      <w:numPr>
        <w:ilvl w:val="5"/>
        <w:numId w:val="1"/>
      </w:numPr>
      <w:pBdr>
        <w:bottom w:val="single" w:sz="2" w:space="1" w:color="auto"/>
      </w:pBdr>
      <w:spacing w:before="360" w:line="240" w:lineRule="atLeast"/>
      <w:ind w:left="-2835" w:right="57"/>
      <w:outlineLvl w:val="5"/>
    </w:pPr>
    <w:rPr>
      <w:sz w:val="16"/>
    </w:rPr>
  </w:style>
  <w:style w:type="paragraph" w:styleId="Heading7">
    <w:name w:val="heading 7"/>
    <w:basedOn w:val="Text"/>
    <w:next w:val="Text"/>
    <w:link w:val="Heading7Char"/>
    <w:qFormat/>
    <w:rsid w:val="00B31F19"/>
    <w:pPr>
      <w:keepNext/>
      <w:numPr>
        <w:ilvl w:val="6"/>
        <w:numId w:val="1"/>
      </w:numPr>
      <w:pBdr>
        <w:bottom w:val="single" w:sz="2" w:space="1" w:color="auto"/>
      </w:pBdr>
      <w:spacing w:before="360" w:after="0" w:line="240" w:lineRule="atLeast"/>
      <w:ind w:right="57"/>
      <w:jc w:val="left"/>
      <w:outlineLvl w:val="6"/>
    </w:pPr>
    <w:rPr>
      <w:sz w:val="16"/>
    </w:rPr>
  </w:style>
  <w:style w:type="paragraph" w:styleId="Heading8">
    <w:name w:val="heading 8"/>
    <w:basedOn w:val="Normal"/>
    <w:next w:val="Normal"/>
    <w:link w:val="Heading8Char"/>
    <w:qFormat/>
    <w:rsid w:val="00B31F19"/>
    <w:pPr>
      <w:keepNext/>
      <w:numPr>
        <w:ilvl w:val="7"/>
        <w:numId w:val="1"/>
      </w:numPr>
      <w:pBdr>
        <w:bottom w:val="single" w:sz="4" w:space="1" w:color="auto"/>
      </w:pBdr>
      <w:spacing w:before="360" w:line="240" w:lineRule="atLeast"/>
      <w:ind w:right="57"/>
      <w:outlineLvl w:val="7"/>
    </w:pPr>
    <w:rPr>
      <w:sz w:val="16"/>
    </w:rPr>
  </w:style>
  <w:style w:type="paragraph" w:styleId="Heading9">
    <w:name w:val="heading 9"/>
    <w:basedOn w:val="Heading1"/>
    <w:next w:val="Text"/>
    <w:link w:val="Heading9Char"/>
    <w:qFormat/>
    <w:rsid w:val="00FA05B8"/>
    <w:pPr>
      <w:numPr>
        <w:ilvl w:val="8"/>
        <w:numId w:val="9"/>
      </w:numPr>
      <w:spacing w:before="240" w:after="60"/>
      <w:outlineLvl w:val="8"/>
    </w:pPr>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62E29"/>
    <w:rPr>
      <w:rFonts w:ascii="Arial" w:eastAsia="HelveticaNeueLT Std Lt Cn" w:hAnsi="Arial" w:cs="Arial"/>
      <w:b/>
      <w:bCs/>
      <w:caps/>
      <w:sz w:val="72"/>
      <w:szCs w:val="72"/>
      <w:lang w:val="en-AU"/>
    </w:rPr>
  </w:style>
  <w:style w:type="character" w:customStyle="1" w:styleId="Heading2Char">
    <w:name w:val="Heading 2 Char"/>
    <w:basedOn w:val="DefaultParagraphFont"/>
    <w:link w:val="Heading2"/>
    <w:rsid w:val="00605EA5"/>
    <w:rPr>
      <w:rFonts w:ascii="Arial" w:eastAsia="Times New Roman" w:hAnsi="Arial" w:cs="Arial"/>
      <w:sz w:val="44"/>
      <w:szCs w:val="44"/>
      <w:lang w:val="en-AU"/>
    </w:rPr>
  </w:style>
  <w:style w:type="character" w:customStyle="1" w:styleId="Heading3Char">
    <w:name w:val="Heading 3 Char"/>
    <w:basedOn w:val="DefaultParagraphFont"/>
    <w:link w:val="Heading3"/>
    <w:rsid w:val="00562E29"/>
    <w:rPr>
      <w:rFonts w:ascii="Arial" w:eastAsia="Times New Roman" w:hAnsi="Arial" w:cs="Arial"/>
      <w:b/>
      <w:sz w:val="28"/>
      <w:szCs w:val="28"/>
      <w:lang w:val="en-AU"/>
    </w:rPr>
  </w:style>
  <w:style w:type="character" w:customStyle="1" w:styleId="Heading5Char">
    <w:name w:val="Heading 5 Char"/>
    <w:basedOn w:val="DefaultParagraphFont"/>
    <w:link w:val="Heading5"/>
    <w:rsid w:val="00562E29"/>
    <w:rPr>
      <w:rFonts w:ascii="Arial" w:eastAsia="Times New Roman" w:hAnsi="Arial" w:cs="Times New Roman"/>
      <w:b/>
      <w:iCs/>
      <w:color w:val="000000"/>
      <w:sz w:val="20"/>
      <w:szCs w:val="20"/>
      <w:lang w:val="en-AU"/>
    </w:rPr>
  </w:style>
  <w:style w:type="character" w:customStyle="1" w:styleId="Heading6Char">
    <w:name w:val="Heading 6 Char"/>
    <w:basedOn w:val="DefaultParagraphFont"/>
    <w:link w:val="Heading6"/>
    <w:rsid w:val="00B31F19"/>
    <w:rPr>
      <w:rFonts w:ascii="Arial" w:eastAsia="Times New Roman" w:hAnsi="Arial" w:cs="Times New Roman"/>
      <w:sz w:val="16"/>
      <w:szCs w:val="20"/>
      <w:lang w:val="en-AU"/>
    </w:rPr>
  </w:style>
  <w:style w:type="character" w:customStyle="1" w:styleId="Heading7Char">
    <w:name w:val="Heading 7 Char"/>
    <w:basedOn w:val="DefaultParagraphFont"/>
    <w:link w:val="Heading7"/>
    <w:rsid w:val="00B31F19"/>
    <w:rPr>
      <w:rFonts w:ascii="Arial" w:eastAsia="Times New Roman" w:hAnsi="Arial" w:cs="Times New Roman"/>
      <w:sz w:val="16"/>
      <w:szCs w:val="20"/>
      <w:lang w:val="en-AU"/>
    </w:rPr>
  </w:style>
  <w:style w:type="character" w:customStyle="1" w:styleId="Heading8Char">
    <w:name w:val="Heading 8 Char"/>
    <w:basedOn w:val="DefaultParagraphFont"/>
    <w:link w:val="Heading8"/>
    <w:rsid w:val="00B31F19"/>
    <w:rPr>
      <w:rFonts w:ascii="Arial" w:eastAsia="Times New Roman" w:hAnsi="Arial" w:cs="Times New Roman"/>
      <w:sz w:val="16"/>
      <w:szCs w:val="20"/>
      <w:lang w:val="en-AU"/>
    </w:rPr>
  </w:style>
  <w:style w:type="paragraph" w:styleId="TOCHeading">
    <w:name w:val="TOC Heading"/>
    <w:basedOn w:val="Normal"/>
    <w:qFormat/>
    <w:rsid w:val="00B31F19"/>
    <w:pPr>
      <w:keepNext/>
      <w:spacing w:before="360" w:after="1600" w:line="240" w:lineRule="atLeast"/>
      <w:ind w:left="-2694" w:right="373"/>
    </w:pPr>
    <w:rPr>
      <w:rFonts w:ascii="Times New Roman" w:hAnsi="Times New Roman"/>
      <w:color w:val="800000"/>
      <w:sz w:val="36"/>
    </w:rPr>
  </w:style>
  <w:style w:type="paragraph" w:styleId="TOC1">
    <w:name w:val="toc 1"/>
    <w:basedOn w:val="Normal"/>
    <w:next w:val="Normal"/>
    <w:autoRedefine/>
    <w:uiPriority w:val="39"/>
    <w:rsid w:val="00AF7209"/>
    <w:pPr>
      <w:pBdr>
        <w:top w:val="single" w:sz="2" w:space="1" w:color="auto"/>
      </w:pBdr>
      <w:tabs>
        <w:tab w:val="right" w:pos="7088"/>
      </w:tabs>
      <w:spacing w:before="300"/>
      <w:ind w:right="374"/>
    </w:pPr>
    <w:rPr>
      <w:rFonts w:ascii="Times New Roman" w:hAnsi="Times New Roman"/>
      <w:noProof/>
      <w:sz w:val="22"/>
    </w:rPr>
  </w:style>
  <w:style w:type="paragraph" w:styleId="TOC2">
    <w:name w:val="toc 2"/>
    <w:basedOn w:val="TOC1"/>
    <w:autoRedefine/>
    <w:uiPriority w:val="39"/>
    <w:rsid w:val="00B31F19"/>
    <w:pPr>
      <w:pBdr>
        <w:top w:val="none" w:sz="0" w:space="0" w:color="auto"/>
      </w:pBdr>
      <w:spacing w:before="0" w:after="40"/>
    </w:pPr>
    <w:rPr>
      <w:i/>
      <w:sz w:val="24"/>
    </w:rPr>
  </w:style>
  <w:style w:type="paragraph" w:styleId="TOC3">
    <w:name w:val="toc 3"/>
    <w:basedOn w:val="Normal"/>
    <w:next w:val="Normal"/>
    <w:autoRedefine/>
    <w:uiPriority w:val="39"/>
    <w:rsid w:val="00B31F19"/>
    <w:pPr>
      <w:pBdr>
        <w:top w:val="single" w:sz="2" w:space="1" w:color="auto"/>
        <w:between w:val="single" w:sz="2" w:space="1" w:color="auto"/>
      </w:pBdr>
      <w:tabs>
        <w:tab w:val="right" w:pos="7088"/>
      </w:tabs>
      <w:spacing w:after="40" w:line="240" w:lineRule="atLeast"/>
      <w:ind w:left="709" w:right="373" w:hanging="426"/>
    </w:pPr>
    <w:rPr>
      <w:noProof/>
    </w:rPr>
  </w:style>
  <w:style w:type="paragraph" w:customStyle="1" w:styleId="Text">
    <w:name w:val="Text"/>
    <w:basedOn w:val="Normal"/>
    <w:rsid w:val="00B31F19"/>
    <w:pPr>
      <w:keepLines/>
      <w:spacing w:after="180" w:line="270" w:lineRule="exact"/>
      <w:ind w:left="-2835"/>
      <w:jc w:val="both"/>
    </w:pPr>
  </w:style>
  <w:style w:type="character" w:styleId="PageNumber">
    <w:name w:val="page number"/>
    <w:basedOn w:val="DefaultParagraphFont"/>
    <w:rsid w:val="00B31F19"/>
  </w:style>
  <w:style w:type="paragraph" w:styleId="Footer">
    <w:name w:val="footer"/>
    <w:basedOn w:val="Normal"/>
    <w:link w:val="FooterChar"/>
    <w:rsid w:val="00B31F19"/>
    <w:pPr>
      <w:tabs>
        <w:tab w:val="center" w:pos="4320"/>
        <w:tab w:val="right" w:pos="8640"/>
      </w:tabs>
    </w:pPr>
  </w:style>
  <w:style w:type="character" w:customStyle="1" w:styleId="FooterChar">
    <w:name w:val="Footer Char"/>
    <w:basedOn w:val="DefaultParagraphFont"/>
    <w:link w:val="Footer"/>
    <w:rsid w:val="00B31F19"/>
    <w:rPr>
      <w:rFonts w:ascii="Arial" w:eastAsia="Times New Roman" w:hAnsi="Arial" w:cs="Times New Roman"/>
      <w:sz w:val="20"/>
      <w:szCs w:val="20"/>
      <w:lang w:val="en-AU"/>
    </w:rPr>
  </w:style>
  <w:style w:type="paragraph" w:styleId="Header">
    <w:name w:val="header"/>
    <w:basedOn w:val="Normal"/>
    <w:link w:val="HeaderChar"/>
    <w:rsid w:val="00B31F19"/>
    <w:pPr>
      <w:pBdr>
        <w:bottom w:val="single" w:sz="4" w:space="1" w:color="auto"/>
      </w:pBdr>
      <w:tabs>
        <w:tab w:val="center" w:pos="3969"/>
        <w:tab w:val="right" w:pos="8460"/>
      </w:tabs>
      <w:spacing w:after="40" w:line="280" w:lineRule="atLeast"/>
      <w:ind w:left="-2835"/>
      <w:jc w:val="both"/>
    </w:pPr>
    <w:rPr>
      <w:rFonts w:ascii="Times New Roman" w:hAnsi="Times New Roman"/>
      <w:smallCaps/>
      <w:spacing w:val="40"/>
      <w:sz w:val="16"/>
    </w:rPr>
  </w:style>
  <w:style w:type="character" w:customStyle="1" w:styleId="HeaderChar">
    <w:name w:val="Header Char"/>
    <w:basedOn w:val="DefaultParagraphFont"/>
    <w:link w:val="Header"/>
    <w:rsid w:val="00B31F19"/>
    <w:rPr>
      <w:rFonts w:ascii="Times New Roman" w:eastAsia="Times New Roman" w:hAnsi="Times New Roman" w:cs="Times New Roman"/>
      <w:smallCaps/>
      <w:spacing w:val="40"/>
      <w:sz w:val="16"/>
      <w:szCs w:val="20"/>
      <w:lang w:val="en-AU"/>
    </w:rPr>
  </w:style>
  <w:style w:type="paragraph" w:customStyle="1" w:styleId="Heading4Numbered">
    <w:name w:val="Heading4Numbered"/>
    <w:basedOn w:val="Normal"/>
    <w:rsid w:val="00B31F19"/>
    <w:pPr>
      <w:keepNext/>
      <w:keepLines/>
      <w:numPr>
        <w:ilvl w:val="3"/>
        <w:numId w:val="1"/>
      </w:numPr>
      <w:spacing w:before="240" w:after="180" w:line="240" w:lineRule="atLeast"/>
      <w:ind w:right="57"/>
    </w:pPr>
    <w:rPr>
      <w:b/>
      <w:i/>
      <w:color w:val="800000"/>
    </w:rPr>
  </w:style>
  <w:style w:type="paragraph" w:customStyle="1" w:styleId="TitleShort">
    <w:name w:val="Title Short"/>
    <w:basedOn w:val="Normal"/>
    <w:qFormat/>
    <w:rsid w:val="00E172B5"/>
    <w:pPr>
      <w:widowControl w:val="0"/>
      <w:ind w:left="-426"/>
    </w:pPr>
    <w:rPr>
      <w:rFonts w:eastAsia="HelveticaNeueLT Std Lt Cn"/>
      <w:b/>
      <w:bCs/>
      <w:caps/>
      <w:sz w:val="40"/>
      <w:szCs w:val="40"/>
    </w:rPr>
  </w:style>
  <w:style w:type="paragraph" w:customStyle="1" w:styleId="AACHeader">
    <w:name w:val="AACHeader"/>
    <w:basedOn w:val="Header"/>
    <w:rsid w:val="00B31F19"/>
    <w:pPr>
      <w:pBdr>
        <w:top w:val="single" w:sz="6" w:space="2" w:color="A6A6A6"/>
        <w:bottom w:val="none" w:sz="0" w:space="0" w:color="auto"/>
      </w:pBdr>
      <w:tabs>
        <w:tab w:val="clear" w:pos="3969"/>
        <w:tab w:val="clear" w:pos="8460"/>
        <w:tab w:val="left" w:pos="567"/>
      </w:tabs>
      <w:spacing w:after="0" w:line="240" w:lineRule="auto"/>
      <w:ind w:left="-2268"/>
      <w:jc w:val="right"/>
    </w:pPr>
    <w:rPr>
      <w:rFonts w:ascii="Novecento Book" w:hAnsi="Novecento Book"/>
      <w:b/>
      <w:smallCaps w:val="0"/>
      <w:noProof/>
      <w:spacing w:val="22"/>
      <w:sz w:val="14"/>
      <w:szCs w:val="14"/>
      <w:lang w:eastAsia="en-AU"/>
    </w:rPr>
  </w:style>
  <w:style w:type="character" w:styleId="Hyperlink">
    <w:name w:val="Hyperlink"/>
    <w:rsid w:val="00B31F19"/>
    <w:rPr>
      <w:rFonts w:ascii="Verdana" w:hAnsi="Verdana" w:hint="default"/>
      <w:b/>
      <w:color w:val="000000"/>
      <w:sz w:val="14"/>
      <w:u w:val="single"/>
      <w:shd w:val="clear" w:color="auto" w:fill="auto"/>
    </w:rPr>
  </w:style>
  <w:style w:type="paragraph" w:customStyle="1" w:styleId="ExecBox">
    <w:name w:val="Exec Box"/>
    <w:basedOn w:val="Normal"/>
    <w:rsid w:val="00B31F19"/>
    <w:pPr>
      <w:keepNext/>
      <w:numPr>
        <w:ilvl w:val="1"/>
        <w:numId w:val="2"/>
      </w:numPr>
      <w:pBdr>
        <w:bottom w:val="single" w:sz="2" w:space="1" w:color="auto"/>
      </w:pBdr>
      <w:spacing w:before="360" w:line="240" w:lineRule="atLeast"/>
      <w:ind w:right="57"/>
    </w:pPr>
    <w:rPr>
      <w:sz w:val="16"/>
    </w:rPr>
  </w:style>
  <w:style w:type="paragraph" w:customStyle="1" w:styleId="ExecFigure">
    <w:name w:val="ExecFigure"/>
    <w:basedOn w:val="Normal"/>
    <w:rsid w:val="00B31F19"/>
    <w:pPr>
      <w:keepNext/>
      <w:numPr>
        <w:numId w:val="2"/>
      </w:numPr>
      <w:pBdr>
        <w:bottom w:val="single" w:sz="2" w:space="1" w:color="auto"/>
      </w:pBdr>
      <w:spacing w:before="360" w:line="240" w:lineRule="atLeast"/>
      <w:ind w:right="57"/>
    </w:pPr>
    <w:rPr>
      <w:sz w:val="16"/>
    </w:rPr>
  </w:style>
  <w:style w:type="paragraph" w:customStyle="1" w:styleId="ExecTable">
    <w:name w:val="Exec Table"/>
    <w:basedOn w:val="Normal"/>
    <w:rsid w:val="00B31F19"/>
    <w:pPr>
      <w:keepNext/>
      <w:numPr>
        <w:ilvl w:val="2"/>
        <w:numId w:val="2"/>
      </w:numPr>
      <w:pBdr>
        <w:bottom w:val="single" w:sz="2" w:space="1" w:color="auto"/>
      </w:pBdr>
      <w:spacing w:before="360" w:line="240" w:lineRule="atLeast"/>
      <w:ind w:right="57"/>
    </w:pPr>
    <w:rPr>
      <w:sz w:val="16"/>
    </w:rPr>
  </w:style>
  <w:style w:type="paragraph" w:styleId="ListParagraph">
    <w:name w:val="List Paragraph"/>
    <w:basedOn w:val="Normal"/>
    <w:uiPriority w:val="34"/>
    <w:qFormat/>
    <w:rsid w:val="00B31F19"/>
    <w:pPr>
      <w:ind w:left="720"/>
      <w:contextualSpacing/>
    </w:pPr>
  </w:style>
  <w:style w:type="character" w:customStyle="1" w:styleId="Heading4Char">
    <w:name w:val="Heading 4 Char"/>
    <w:basedOn w:val="DefaultParagraphFont"/>
    <w:link w:val="Heading4"/>
    <w:uiPriority w:val="9"/>
    <w:rsid w:val="00562E29"/>
    <w:rPr>
      <w:rFonts w:ascii="Arial" w:eastAsia="Times New Roman" w:hAnsi="Arial" w:cs="Arial"/>
      <w:b/>
      <w:sz w:val="24"/>
      <w:szCs w:val="24"/>
      <w:lang w:val="en-AU"/>
    </w:rPr>
  </w:style>
  <w:style w:type="paragraph" w:customStyle="1" w:styleId="TextDotPoint">
    <w:name w:val="Text Dot Point"/>
    <w:basedOn w:val="Text"/>
    <w:rsid w:val="00F25E48"/>
    <w:pPr>
      <w:numPr>
        <w:numId w:val="8"/>
      </w:numPr>
      <w:spacing w:after="160"/>
    </w:pPr>
  </w:style>
  <w:style w:type="character" w:customStyle="1" w:styleId="Heading9Char">
    <w:name w:val="Heading 9 Char"/>
    <w:basedOn w:val="DefaultParagraphFont"/>
    <w:link w:val="Heading9"/>
    <w:rsid w:val="00FA05B8"/>
    <w:rPr>
      <w:rFonts w:ascii="Times New Roman" w:eastAsia="Times New Roman" w:hAnsi="Times New Roman" w:cs="Times New Roman"/>
      <w:b/>
      <w:iCs/>
      <w:sz w:val="28"/>
      <w:szCs w:val="28"/>
      <w:lang w:val="en-AU"/>
    </w:rPr>
  </w:style>
  <w:style w:type="paragraph" w:customStyle="1" w:styleId="TableHeads">
    <w:name w:val="Table Heads"/>
    <w:basedOn w:val="Normal"/>
    <w:rsid w:val="00FA05B8"/>
    <w:pPr>
      <w:keepNext/>
      <w:spacing w:before="80" w:after="80"/>
      <w:jc w:val="center"/>
    </w:pPr>
    <w:rPr>
      <w:b/>
      <w:sz w:val="18"/>
    </w:rPr>
  </w:style>
  <w:style w:type="paragraph" w:customStyle="1" w:styleId="TableText">
    <w:name w:val="Table Text"/>
    <w:basedOn w:val="Normal"/>
    <w:rsid w:val="00FA05B8"/>
    <w:pPr>
      <w:keepNext/>
      <w:spacing w:before="60" w:after="60"/>
      <w:ind w:left="-2835" w:right="57"/>
    </w:pPr>
    <w:rPr>
      <w:sz w:val="18"/>
    </w:rPr>
  </w:style>
  <w:style w:type="paragraph" w:customStyle="1" w:styleId="TableTitle">
    <w:name w:val="Table Title"/>
    <w:basedOn w:val="Normal"/>
    <w:rsid w:val="00FA05B8"/>
    <w:pPr>
      <w:keepNext/>
      <w:spacing w:after="160" w:line="240" w:lineRule="atLeast"/>
      <w:ind w:left="-2835" w:right="57"/>
    </w:pPr>
    <w:rPr>
      <w:b/>
      <w:caps/>
      <w:sz w:val="18"/>
    </w:rPr>
  </w:style>
  <w:style w:type="paragraph" w:customStyle="1" w:styleId="AppendixHeading">
    <w:name w:val="AppendixHeading"/>
    <w:next w:val="AppendixHeading2"/>
    <w:rsid w:val="00FA05B8"/>
    <w:pPr>
      <w:keepNext/>
      <w:pageBreakBefore/>
      <w:numPr>
        <w:numId w:val="9"/>
      </w:numPr>
      <w:spacing w:before="100" w:after="120" w:line="240" w:lineRule="atLeast"/>
      <w:ind w:right="57"/>
      <w:outlineLvl w:val="0"/>
    </w:pPr>
    <w:rPr>
      <w:rFonts w:ascii="Times New Roman" w:eastAsia="Times New Roman" w:hAnsi="Times New Roman" w:cs="Times New Roman"/>
      <w:i/>
      <w:color w:val="800000"/>
      <w:sz w:val="28"/>
      <w:szCs w:val="20"/>
      <w:lang w:val="en-AU"/>
    </w:rPr>
  </w:style>
  <w:style w:type="paragraph" w:customStyle="1" w:styleId="AppendixHeading2">
    <w:name w:val="AppendixHeading2"/>
    <w:next w:val="AppendixHeading3"/>
    <w:rsid w:val="00FA05B8"/>
    <w:pPr>
      <w:keepNext/>
      <w:numPr>
        <w:ilvl w:val="1"/>
        <w:numId w:val="9"/>
      </w:numPr>
      <w:spacing w:after="600" w:line="240" w:lineRule="auto"/>
      <w:ind w:right="57"/>
      <w:outlineLvl w:val="1"/>
    </w:pPr>
    <w:rPr>
      <w:rFonts w:ascii="Times New Roman" w:eastAsia="Times New Roman" w:hAnsi="Times New Roman" w:cs="Times New Roman"/>
      <w:color w:val="800000"/>
      <w:sz w:val="36"/>
      <w:szCs w:val="20"/>
      <w:lang w:val="en-AU"/>
    </w:rPr>
  </w:style>
  <w:style w:type="paragraph" w:customStyle="1" w:styleId="AppendixHeading3">
    <w:name w:val="AppendixHeading3"/>
    <w:next w:val="Text"/>
    <w:rsid w:val="00FA05B8"/>
    <w:pPr>
      <w:keepNext/>
      <w:numPr>
        <w:ilvl w:val="2"/>
        <w:numId w:val="9"/>
      </w:numPr>
      <w:spacing w:before="300" w:after="180" w:line="280" w:lineRule="atLeast"/>
      <w:ind w:right="57"/>
      <w:outlineLvl w:val="2"/>
    </w:pPr>
    <w:rPr>
      <w:rFonts w:ascii="Arial" w:eastAsia="Times New Roman" w:hAnsi="Arial" w:cs="Times New Roman"/>
      <w:b/>
      <w:color w:val="800000"/>
      <w:sz w:val="21"/>
      <w:szCs w:val="20"/>
      <w:lang w:val="en-AU"/>
    </w:rPr>
  </w:style>
  <w:style w:type="paragraph" w:customStyle="1" w:styleId="AppendixHeading4">
    <w:name w:val="AppendixHeading4"/>
    <w:next w:val="Text"/>
    <w:rsid w:val="00FA05B8"/>
    <w:pPr>
      <w:keepNext/>
      <w:keepLines/>
      <w:numPr>
        <w:ilvl w:val="3"/>
        <w:numId w:val="9"/>
      </w:numPr>
      <w:spacing w:before="240" w:after="180" w:line="240" w:lineRule="atLeast"/>
      <w:ind w:right="57"/>
      <w:jc w:val="both"/>
      <w:outlineLvl w:val="3"/>
    </w:pPr>
    <w:rPr>
      <w:rFonts w:ascii="Arial" w:eastAsia="Times New Roman" w:hAnsi="Arial" w:cs="Times New Roman"/>
      <w:b/>
      <w:i/>
      <w:color w:val="800000"/>
      <w:sz w:val="20"/>
      <w:szCs w:val="20"/>
      <w:lang w:val="en-AU"/>
    </w:rPr>
  </w:style>
  <w:style w:type="paragraph" w:customStyle="1" w:styleId="AppendixHeading6">
    <w:name w:val="AppendixHeading6"/>
    <w:next w:val="Text"/>
    <w:rsid w:val="00FA05B8"/>
    <w:pPr>
      <w:keepNext/>
      <w:numPr>
        <w:ilvl w:val="5"/>
        <w:numId w:val="9"/>
      </w:numPr>
      <w:pBdr>
        <w:bottom w:val="single" w:sz="2" w:space="1" w:color="auto"/>
      </w:pBdr>
      <w:spacing w:before="360" w:after="0" w:line="240" w:lineRule="atLeast"/>
      <w:ind w:right="57"/>
      <w:outlineLvl w:val="5"/>
    </w:pPr>
    <w:rPr>
      <w:rFonts w:ascii="Arial" w:eastAsia="Times New Roman" w:hAnsi="Arial" w:cs="Times New Roman"/>
      <w:sz w:val="16"/>
      <w:szCs w:val="20"/>
      <w:lang w:val="en-AU"/>
    </w:rPr>
  </w:style>
  <w:style w:type="paragraph" w:customStyle="1" w:styleId="AppendixHeading7">
    <w:name w:val="AppendixHeading7"/>
    <w:next w:val="Text"/>
    <w:rsid w:val="00FA05B8"/>
    <w:pPr>
      <w:keepNext/>
      <w:keepLines/>
      <w:numPr>
        <w:ilvl w:val="6"/>
        <w:numId w:val="9"/>
      </w:numPr>
      <w:pBdr>
        <w:bottom w:val="single" w:sz="2" w:space="0" w:color="auto"/>
      </w:pBdr>
      <w:spacing w:before="360" w:after="0" w:line="240" w:lineRule="atLeast"/>
      <w:ind w:right="57"/>
      <w:outlineLvl w:val="6"/>
    </w:pPr>
    <w:rPr>
      <w:rFonts w:ascii="Arial" w:eastAsia="Times New Roman" w:hAnsi="Arial" w:cs="Times New Roman"/>
      <w:sz w:val="16"/>
      <w:szCs w:val="20"/>
      <w:lang w:val="en-AU"/>
    </w:rPr>
  </w:style>
  <w:style w:type="paragraph" w:customStyle="1" w:styleId="AppendixHeading8">
    <w:name w:val="AppendixHeading8"/>
    <w:next w:val="Text"/>
    <w:rsid w:val="00FA05B8"/>
    <w:pPr>
      <w:keepNext/>
      <w:numPr>
        <w:ilvl w:val="7"/>
        <w:numId w:val="9"/>
      </w:numPr>
      <w:pBdr>
        <w:bottom w:val="single" w:sz="2" w:space="1" w:color="auto"/>
      </w:pBdr>
      <w:spacing w:before="360" w:after="0" w:line="240" w:lineRule="atLeast"/>
      <w:ind w:right="57"/>
      <w:outlineLvl w:val="7"/>
    </w:pPr>
    <w:rPr>
      <w:rFonts w:ascii="Arial" w:eastAsia="Times New Roman" w:hAnsi="Arial" w:cs="Times New Roman"/>
      <w:sz w:val="16"/>
      <w:szCs w:val="20"/>
      <w:lang w:val="en-AU"/>
    </w:rPr>
  </w:style>
  <w:style w:type="paragraph" w:customStyle="1" w:styleId="AppendixHeading5notUsed">
    <w:name w:val="AppendixHeading5_notUsed"/>
    <w:basedOn w:val="Normal"/>
    <w:rsid w:val="00FA05B8"/>
    <w:pPr>
      <w:numPr>
        <w:ilvl w:val="4"/>
        <w:numId w:val="9"/>
      </w:numPr>
    </w:pPr>
  </w:style>
  <w:style w:type="table" w:styleId="TableGrid">
    <w:name w:val="Table Grid"/>
    <w:basedOn w:val="TableNormal"/>
    <w:rsid w:val="00274B34"/>
    <w:pPr>
      <w:spacing w:after="0" w:line="240" w:lineRule="auto"/>
    </w:pPr>
    <w:rPr>
      <w:rFonts w:ascii="Times New Roman" w:eastAsia="Times New Roman" w:hAnsi="Times New Roma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DotPoint">
    <w:name w:val="TableTextDotPoint"/>
    <w:basedOn w:val="TableText"/>
    <w:rsid w:val="00312E78"/>
    <w:pPr>
      <w:numPr>
        <w:numId w:val="28"/>
      </w:numPr>
      <w:tabs>
        <w:tab w:val="left" w:pos="357"/>
      </w:tabs>
    </w:pPr>
  </w:style>
  <w:style w:type="paragraph" w:customStyle="1" w:styleId="BoxDotStyle">
    <w:name w:val="BoxDotStyle"/>
    <w:basedOn w:val="Normal"/>
    <w:rsid w:val="00312E78"/>
    <w:pPr>
      <w:numPr>
        <w:numId w:val="27"/>
      </w:numPr>
      <w:spacing w:before="60" w:after="60"/>
      <w:jc w:val="both"/>
    </w:pPr>
    <w:rPr>
      <w:sz w:val="18"/>
    </w:rPr>
  </w:style>
  <w:style w:type="paragraph" w:customStyle="1" w:styleId="TableSource">
    <w:name w:val="Table Source"/>
    <w:basedOn w:val="Text"/>
    <w:next w:val="Text"/>
    <w:rsid w:val="0020466B"/>
    <w:pPr>
      <w:keepLines w:val="0"/>
      <w:pBdr>
        <w:bottom w:val="single" w:sz="2" w:space="1" w:color="auto"/>
      </w:pBdr>
      <w:spacing w:before="120" w:after="600" w:line="240" w:lineRule="auto"/>
      <w:ind w:right="57"/>
    </w:pPr>
    <w:rPr>
      <w:sz w:val="16"/>
    </w:rPr>
  </w:style>
  <w:style w:type="paragraph" w:styleId="BalloonText">
    <w:name w:val="Balloon Text"/>
    <w:basedOn w:val="Normal"/>
    <w:link w:val="BalloonTextChar"/>
    <w:uiPriority w:val="99"/>
    <w:semiHidden/>
    <w:unhideWhenUsed/>
    <w:rsid w:val="00884D44"/>
    <w:rPr>
      <w:rFonts w:ascii="Tahoma" w:hAnsi="Tahoma" w:cs="Tahoma"/>
      <w:sz w:val="16"/>
      <w:szCs w:val="16"/>
    </w:rPr>
  </w:style>
  <w:style w:type="character" w:customStyle="1" w:styleId="BalloonTextChar">
    <w:name w:val="Balloon Text Char"/>
    <w:basedOn w:val="DefaultParagraphFont"/>
    <w:link w:val="BalloonText"/>
    <w:uiPriority w:val="99"/>
    <w:semiHidden/>
    <w:rsid w:val="00884D44"/>
    <w:rPr>
      <w:rFonts w:ascii="Tahoma" w:eastAsia="Times New Roman" w:hAnsi="Tahoma" w:cs="Tahoma"/>
      <w:sz w:val="16"/>
      <w:szCs w:val="16"/>
      <w:lang w:val="en-AU"/>
    </w:rPr>
  </w:style>
  <w:style w:type="character" w:styleId="FollowedHyperlink">
    <w:name w:val="FollowedHyperlink"/>
    <w:basedOn w:val="DefaultParagraphFont"/>
    <w:uiPriority w:val="99"/>
    <w:semiHidden/>
    <w:unhideWhenUsed/>
    <w:rsid w:val="001C7AC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8DCCA-7DCC-4FC9-B45A-B9E961627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20</Pages>
  <Words>6430</Words>
  <Characters>36654</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
    </vt:vector>
  </TitlesOfParts>
  <Company>Dept Health And Ageing</Company>
  <LinksUpToDate>false</LinksUpToDate>
  <CharactersWithSpaces>42999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Ayres</dc:creator>
  <cp:lastModifiedBy>Ayres David</cp:lastModifiedBy>
  <cp:revision>22</cp:revision>
  <cp:lastPrinted>2014-02-25T03:32:00Z</cp:lastPrinted>
  <dcterms:created xsi:type="dcterms:W3CDTF">2014-02-01T05:15:00Z</dcterms:created>
  <dcterms:modified xsi:type="dcterms:W3CDTF">2014-02-25T03:32:00Z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DOCTYPE">
    <vt:lpwstr/>
  </property>
  <property fmtid="{D5CDD505-2E9C-101B-9397-08002B2CF9AE}" pid="3" name="DraftType">
    <vt:lpwstr/>
  </property>
  <property fmtid="{D5CDD505-2E9C-101B-9397-08002B2CF9AE}" pid="4" name="WPLUSServerName">
    <vt:lpwstr/>
  </property>
  <property fmtid="{D5CDD505-2E9C-101B-9397-08002B2CF9AE}" pid="5" name="WPLUSDataBaseName">
    <vt:lpwstr/>
  </property>
  <property fmtid="{D5CDD505-2E9C-101B-9397-08002B2CF9AE}" pid="6" name="WPLUSDocumentUNID">
    <vt:lpwstr/>
  </property>
  <property fmtid="{D5CDD505-2E9C-101B-9397-08002B2CF9AE}" pid="7" name="NeverSavedToNT">
    <vt:lpwstr/>
  </property>
</Properties>
</file>