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5C3B" w:rsidRPr="00267DB0" w:rsidRDefault="00985C3B" w:rsidP="00985C3B">
      <w:pPr>
        <w:pStyle w:val="BodyText1"/>
        <w:jc w:val="center"/>
        <w:rPr>
          <w:rFonts w:asciiTheme="minorHAnsi" w:hAnsiTheme="minorHAnsi" w:cstheme="minorHAnsi"/>
          <w:color w:val="00B050"/>
          <w:sz w:val="32"/>
          <w:szCs w:val="32"/>
        </w:rPr>
      </w:pPr>
      <w:r w:rsidRPr="00267DB0">
        <w:rPr>
          <w:rFonts w:asciiTheme="minorHAnsi" w:hAnsiTheme="minorHAnsi" w:cstheme="minorHAnsi"/>
          <w:noProof/>
          <w:color w:val="00B050"/>
          <w:sz w:val="32"/>
          <w:szCs w:val="32"/>
        </w:rPr>
        <w:drawing>
          <wp:inline distT="0" distB="0" distL="0" distR="0">
            <wp:extent cx="3099665" cy="713592"/>
            <wp:effectExtent l="0" t="0" r="0" b="0"/>
            <wp:docPr id="5" name="Picture 5" descr="Australian Government&#10;Aged Care Pricing Commissio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18-10-10 at 2.43.44 pm.png"/>
                    <pic:cNvPicPr/>
                  </pic:nvPicPr>
                  <pic:blipFill>
                    <a:blip r:embed="rId7">
                      <a:extLst>
                        <a:ext uri="{28A0092B-C50C-407E-A947-70E740481C1C}">
                          <a14:useLocalDpi xmlns:a14="http://schemas.microsoft.com/office/drawing/2010/main" val="0"/>
                        </a:ext>
                      </a:extLst>
                    </a:blip>
                    <a:stretch>
                      <a:fillRect/>
                    </a:stretch>
                  </pic:blipFill>
                  <pic:spPr>
                    <a:xfrm>
                      <a:off x="0" y="0"/>
                      <a:ext cx="3099665" cy="713592"/>
                    </a:xfrm>
                    <a:prstGeom prst="rect">
                      <a:avLst/>
                    </a:prstGeom>
                  </pic:spPr>
                </pic:pic>
              </a:graphicData>
            </a:graphic>
          </wp:inline>
        </w:drawing>
      </w:r>
    </w:p>
    <w:p w:rsidR="005C61B5" w:rsidRPr="00267DB0" w:rsidRDefault="005C61B5" w:rsidP="00572891">
      <w:pPr>
        <w:pStyle w:val="H1"/>
        <w:spacing w:before="3000"/>
        <w:rPr>
          <w:rFonts w:asciiTheme="minorHAnsi" w:hAnsiTheme="minorHAnsi" w:cstheme="minorHAnsi"/>
        </w:rPr>
      </w:pPr>
      <w:r w:rsidRPr="00267DB0">
        <w:rPr>
          <w:rFonts w:asciiTheme="minorHAnsi" w:hAnsiTheme="minorHAnsi" w:cstheme="minorHAnsi"/>
        </w:rPr>
        <w:t>Aged Care Pri</w:t>
      </w:r>
      <w:bookmarkStart w:id="0" w:name="_GoBack"/>
      <w:bookmarkEnd w:id="0"/>
      <w:r w:rsidRPr="00267DB0">
        <w:rPr>
          <w:rFonts w:asciiTheme="minorHAnsi" w:hAnsiTheme="minorHAnsi" w:cstheme="minorHAnsi"/>
        </w:rPr>
        <w:t>cing Commissioner</w:t>
      </w:r>
    </w:p>
    <w:p w:rsidR="005C61B5" w:rsidRPr="00267DB0" w:rsidRDefault="005C61B5" w:rsidP="00F410F8">
      <w:pPr>
        <w:pStyle w:val="H1"/>
        <w:rPr>
          <w:rFonts w:asciiTheme="minorHAnsi" w:hAnsiTheme="minorHAnsi" w:cstheme="minorHAnsi"/>
        </w:rPr>
      </w:pPr>
      <w:r w:rsidRPr="00267DB0">
        <w:rPr>
          <w:rFonts w:asciiTheme="minorHAnsi" w:hAnsiTheme="minorHAnsi" w:cstheme="minorHAnsi"/>
        </w:rPr>
        <w:t>Annual Report</w:t>
      </w:r>
    </w:p>
    <w:p w:rsidR="005C61B5" w:rsidRPr="00267DB0" w:rsidRDefault="00B1267C" w:rsidP="00B1267C">
      <w:pPr>
        <w:pStyle w:val="BodyText1"/>
        <w:jc w:val="center"/>
        <w:rPr>
          <w:rFonts w:asciiTheme="minorHAnsi" w:hAnsiTheme="minorHAnsi" w:cstheme="minorHAnsi"/>
          <w:b/>
          <w:sz w:val="40"/>
          <w:szCs w:val="32"/>
          <w:lang w:val="en-GB"/>
        </w:rPr>
      </w:pPr>
      <w:r w:rsidRPr="00267DB0">
        <w:rPr>
          <w:rFonts w:asciiTheme="minorHAnsi" w:hAnsiTheme="minorHAnsi" w:cstheme="minorHAnsi"/>
          <w:b/>
          <w:sz w:val="40"/>
          <w:szCs w:val="32"/>
          <w:lang w:val="en-GB"/>
        </w:rPr>
        <w:t>1 July 2018 – 30 June 2019</w:t>
      </w:r>
    </w:p>
    <w:p w:rsidR="005C61B5" w:rsidRPr="00267DB0" w:rsidRDefault="005C61B5" w:rsidP="005C61B5">
      <w:pPr>
        <w:pStyle w:val="BodyText1"/>
        <w:rPr>
          <w:rFonts w:asciiTheme="minorHAnsi" w:hAnsiTheme="minorHAnsi" w:cstheme="minorHAnsi"/>
        </w:rPr>
      </w:pPr>
    </w:p>
    <w:p w:rsidR="00985C3B" w:rsidRPr="00267DB0" w:rsidRDefault="00985C3B">
      <w:pPr>
        <w:rPr>
          <w:rFonts w:cstheme="minorHAnsi"/>
          <w:sz w:val="20"/>
          <w:szCs w:val="20"/>
        </w:rPr>
      </w:pPr>
      <w:r w:rsidRPr="00267DB0">
        <w:rPr>
          <w:rFonts w:cstheme="minorHAnsi"/>
        </w:rPr>
        <w:br w:type="page"/>
      </w:r>
    </w:p>
    <w:p w:rsidR="00B1267C" w:rsidRPr="00267DB0" w:rsidRDefault="00B1267C" w:rsidP="00B1267C">
      <w:pPr>
        <w:pStyle w:val="BodyText1"/>
        <w:rPr>
          <w:rFonts w:asciiTheme="minorHAnsi" w:hAnsiTheme="minorHAnsi" w:cstheme="minorHAnsi"/>
        </w:rPr>
      </w:pPr>
      <w:r w:rsidRPr="00267DB0">
        <w:rPr>
          <w:rFonts w:asciiTheme="minorHAnsi" w:hAnsiTheme="minorHAnsi" w:cstheme="minorHAnsi"/>
        </w:rPr>
        <w:lastRenderedPageBreak/>
        <w:t>Office Of The Aged Care Pricing Commissioner</w:t>
      </w:r>
      <w:r w:rsidRPr="00267DB0">
        <w:rPr>
          <w:rFonts w:asciiTheme="minorHAnsi" w:hAnsiTheme="minorHAnsi" w:cstheme="minorHAnsi"/>
        </w:rPr>
        <w:br/>
        <w:t>Locked Bag 5, Haymarket N</w:t>
      </w:r>
      <w:r w:rsidRPr="00267DB0">
        <w:rPr>
          <w:rFonts w:asciiTheme="minorHAnsi" w:hAnsiTheme="minorHAnsi" w:cstheme="minorHAnsi"/>
          <w:caps/>
        </w:rPr>
        <w:t>sw</w:t>
      </w:r>
      <w:r w:rsidRPr="00267DB0">
        <w:rPr>
          <w:rFonts w:asciiTheme="minorHAnsi" w:hAnsiTheme="minorHAnsi" w:cstheme="minorHAnsi"/>
        </w:rPr>
        <w:t xml:space="preserve"> 1240</w:t>
      </w:r>
      <w:r w:rsidRPr="00267DB0">
        <w:rPr>
          <w:rFonts w:asciiTheme="minorHAnsi" w:hAnsiTheme="minorHAnsi" w:cstheme="minorHAnsi"/>
        </w:rPr>
        <w:br/>
        <w:t>Tel: 1300 550 970</w:t>
      </w:r>
    </w:p>
    <w:p w:rsidR="00B1267C" w:rsidRPr="00267DB0" w:rsidRDefault="00B1267C" w:rsidP="00B1267C">
      <w:pPr>
        <w:pStyle w:val="BodyText1"/>
        <w:rPr>
          <w:rFonts w:asciiTheme="minorHAnsi" w:hAnsiTheme="minorHAnsi" w:cstheme="minorHAnsi"/>
        </w:rPr>
      </w:pPr>
    </w:p>
    <w:p w:rsidR="00B1267C" w:rsidRPr="00267DB0" w:rsidRDefault="00B1267C" w:rsidP="00B1267C">
      <w:pPr>
        <w:pStyle w:val="BodyText1"/>
        <w:rPr>
          <w:rFonts w:asciiTheme="minorHAnsi" w:hAnsiTheme="minorHAnsi" w:cstheme="minorHAnsi"/>
        </w:rPr>
      </w:pPr>
    </w:p>
    <w:p w:rsidR="00B1267C" w:rsidRPr="00267DB0" w:rsidRDefault="00B1267C" w:rsidP="00B1267C">
      <w:pPr>
        <w:pStyle w:val="BodyText1"/>
        <w:rPr>
          <w:rFonts w:asciiTheme="minorHAnsi" w:hAnsiTheme="minorHAnsi" w:cstheme="minorHAnsi"/>
          <w:lang w:val="en-GB"/>
        </w:rPr>
      </w:pPr>
      <w:r w:rsidRPr="00267DB0">
        <w:rPr>
          <w:rFonts w:asciiTheme="minorHAnsi" w:hAnsiTheme="minorHAnsi" w:cstheme="minorHAnsi"/>
          <w:lang w:val="en-GB"/>
        </w:rPr>
        <w:t>Senator the Hon Richard Colbeck</w:t>
      </w:r>
      <w:r w:rsidRPr="00267DB0">
        <w:rPr>
          <w:rFonts w:asciiTheme="minorHAnsi" w:hAnsiTheme="minorHAnsi" w:cstheme="minorHAnsi"/>
          <w:lang w:val="en-GB"/>
        </w:rPr>
        <w:br/>
        <w:t>Minister for Aged Care and Senior Australians</w:t>
      </w:r>
      <w:r w:rsidRPr="00267DB0">
        <w:rPr>
          <w:rFonts w:asciiTheme="minorHAnsi" w:hAnsiTheme="minorHAnsi" w:cstheme="minorHAnsi"/>
          <w:lang w:val="en-GB"/>
        </w:rPr>
        <w:br/>
        <w:t>Minister for Youth and Sport</w:t>
      </w:r>
      <w:r w:rsidRPr="00267DB0">
        <w:rPr>
          <w:rFonts w:asciiTheme="minorHAnsi" w:hAnsiTheme="minorHAnsi" w:cstheme="minorHAnsi"/>
          <w:lang w:val="en-GB"/>
        </w:rPr>
        <w:br/>
        <w:t>Senate</w:t>
      </w:r>
      <w:r w:rsidRPr="00267DB0">
        <w:rPr>
          <w:rFonts w:asciiTheme="minorHAnsi" w:hAnsiTheme="minorHAnsi" w:cstheme="minorHAnsi"/>
          <w:lang w:val="en-GB"/>
        </w:rPr>
        <w:br/>
        <w:t>Parliament House</w:t>
      </w:r>
      <w:r w:rsidRPr="00267DB0">
        <w:rPr>
          <w:rFonts w:asciiTheme="minorHAnsi" w:hAnsiTheme="minorHAnsi" w:cstheme="minorHAnsi"/>
          <w:lang w:val="en-GB"/>
        </w:rPr>
        <w:br/>
        <w:t>Canberra ACT 2600</w:t>
      </w:r>
    </w:p>
    <w:p w:rsidR="00B1267C" w:rsidRPr="00267DB0" w:rsidRDefault="00B1267C" w:rsidP="00B1267C">
      <w:pPr>
        <w:pStyle w:val="BodyText1"/>
        <w:rPr>
          <w:rFonts w:asciiTheme="minorHAnsi" w:hAnsiTheme="minorHAnsi" w:cstheme="minorHAnsi"/>
          <w:lang w:val="en-GB"/>
        </w:rPr>
      </w:pPr>
    </w:p>
    <w:p w:rsidR="00B1267C" w:rsidRPr="00267DB0" w:rsidRDefault="00B1267C" w:rsidP="00B1267C">
      <w:pPr>
        <w:pStyle w:val="BodyText1"/>
        <w:rPr>
          <w:rFonts w:asciiTheme="minorHAnsi" w:hAnsiTheme="minorHAnsi" w:cstheme="minorHAnsi"/>
          <w:lang w:val="en-GB"/>
        </w:rPr>
      </w:pPr>
      <w:r w:rsidRPr="00267DB0">
        <w:rPr>
          <w:rFonts w:asciiTheme="minorHAnsi" w:hAnsiTheme="minorHAnsi" w:cstheme="minorHAnsi"/>
          <w:lang w:val="en-GB"/>
        </w:rPr>
        <w:t>Dear Minister</w:t>
      </w:r>
    </w:p>
    <w:p w:rsidR="00B1267C" w:rsidRPr="00267DB0" w:rsidRDefault="00B1267C" w:rsidP="00B1267C">
      <w:pPr>
        <w:pStyle w:val="BodyText1"/>
        <w:rPr>
          <w:rFonts w:asciiTheme="minorHAnsi" w:hAnsiTheme="minorHAnsi" w:cstheme="minorHAnsi"/>
          <w:lang w:val="en-GB"/>
        </w:rPr>
      </w:pPr>
      <w:r w:rsidRPr="00267DB0">
        <w:rPr>
          <w:rFonts w:asciiTheme="minorHAnsi" w:hAnsiTheme="minorHAnsi" w:cstheme="minorHAnsi"/>
          <w:lang w:val="en-GB"/>
        </w:rPr>
        <w:t xml:space="preserve">In accordance with Section 95B-12 of the </w:t>
      </w:r>
      <w:r w:rsidRPr="00267DB0">
        <w:rPr>
          <w:rFonts w:asciiTheme="minorHAnsi" w:hAnsiTheme="minorHAnsi" w:cstheme="minorHAnsi"/>
          <w:i/>
          <w:iCs/>
          <w:lang w:val="en-GB"/>
        </w:rPr>
        <w:t>Aged Care Act 1997,</w:t>
      </w:r>
      <w:r w:rsidRPr="00267DB0">
        <w:rPr>
          <w:rFonts w:asciiTheme="minorHAnsi" w:hAnsiTheme="minorHAnsi" w:cstheme="minorHAnsi"/>
          <w:lang w:val="en-GB"/>
        </w:rPr>
        <w:t xml:space="preserve"> I have great pleasure in presenting to you the Annual Report of the Aged Care Pricing Commissioner covering the Commissioner’s operations for the financial year from 1 July 2018 to 30 June 2019.</w:t>
      </w:r>
    </w:p>
    <w:p w:rsidR="00B1267C" w:rsidRPr="00267DB0" w:rsidRDefault="00B1267C" w:rsidP="00B1267C">
      <w:pPr>
        <w:pStyle w:val="BodyText1"/>
        <w:rPr>
          <w:rFonts w:asciiTheme="minorHAnsi" w:hAnsiTheme="minorHAnsi" w:cstheme="minorHAnsi"/>
          <w:lang w:val="en-GB"/>
        </w:rPr>
      </w:pPr>
      <w:r w:rsidRPr="00267DB0">
        <w:rPr>
          <w:rFonts w:asciiTheme="minorHAnsi" w:hAnsiTheme="minorHAnsi" w:cstheme="minorHAnsi"/>
          <w:lang w:val="en-GB"/>
        </w:rPr>
        <w:t>I look forward to working with you in what is no doubt an important period for the Australian Aged Care Industry. Please do not hesitate to contact me should you have any questions or require any additional information.</w:t>
      </w:r>
    </w:p>
    <w:p w:rsidR="00B1267C" w:rsidRPr="00267DB0" w:rsidRDefault="00B1267C" w:rsidP="00B1267C">
      <w:pPr>
        <w:pStyle w:val="BodyText1"/>
        <w:rPr>
          <w:rFonts w:asciiTheme="minorHAnsi" w:hAnsiTheme="minorHAnsi" w:cstheme="minorHAnsi"/>
          <w:lang w:val="en-GB"/>
        </w:rPr>
      </w:pPr>
      <w:r w:rsidRPr="00267DB0">
        <w:rPr>
          <w:rFonts w:asciiTheme="minorHAnsi" w:hAnsiTheme="minorHAnsi" w:cstheme="minorHAnsi"/>
          <w:lang w:val="en-GB"/>
        </w:rPr>
        <w:t>Yours sincerely,</w:t>
      </w:r>
    </w:p>
    <w:p w:rsidR="00B1267C" w:rsidRPr="00267DB0" w:rsidRDefault="00B1267C" w:rsidP="00B1267C">
      <w:pPr>
        <w:pStyle w:val="BodyText1"/>
        <w:rPr>
          <w:rFonts w:asciiTheme="minorHAnsi" w:hAnsiTheme="minorHAnsi" w:cstheme="minorHAnsi"/>
          <w:lang w:val="en-GB"/>
        </w:rPr>
      </w:pPr>
    </w:p>
    <w:p w:rsidR="00B1267C" w:rsidRPr="00267DB0" w:rsidRDefault="00B1267C" w:rsidP="00B1267C">
      <w:pPr>
        <w:pStyle w:val="BodyText1"/>
        <w:rPr>
          <w:rFonts w:asciiTheme="minorHAnsi" w:hAnsiTheme="minorHAnsi" w:cstheme="minorHAnsi"/>
          <w:lang w:val="en-GB"/>
        </w:rPr>
      </w:pPr>
    </w:p>
    <w:p w:rsidR="00985C3B" w:rsidRPr="00267DB0" w:rsidRDefault="00B1267C" w:rsidP="00B1267C">
      <w:pPr>
        <w:pStyle w:val="BodyText1"/>
        <w:rPr>
          <w:rFonts w:asciiTheme="minorHAnsi" w:hAnsiTheme="minorHAnsi" w:cstheme="minorHAnsi"/>
          <w:lang w:val="en-GB"/>
        </w:rPr>
      </w:pPr>
      <w:r w:rsidRPr="00267DB0">
        <w:rPr>
          <w:rFonts w:asciiTheme="minorHAnsi" w:hAnsiTheme="minorHAnsi" w:cstheme="minorHAnsi"/>
          <w:b/>
          <w:bCs/>
          <w:lang w:val="en-GB"/>
        </w:rPr>
        <w:t>John Dicer</w:t>
      </w:r>
      <w:r w:rsidRPr="00267DB0">
        <w:rPr>
          <w:rFonts w:asciiTheme="minorHAnsi" w:hAnsiTheme="minorHAnsi" w:cstheme="minorHAnsi"/>
          <w:b/>
          <w:bCs/>
          <w:lang w:val="en-GB"/>
        </w:rPr>
        <w:br/>
      </w:r>
      <w:r w:rsidRPr="00267DB0">
        <w:rPr>
          <w:rFonts w:asciiTheme="minorHAnsi" w:hAnsiTheme="minorHAnsi" w:cstheme="minorHAnsi"/>
          <w:lang w:val="en-GB"/>
        </w:rPr>
        <w:t>Aged Care Pricing Commissioner</w:t>
      </w:r>
      <w:r w:rsidR="00985C3B" w:rsidRPr="00267DB0">
        <w:rPr>
          <w:rFonts w:asciiTheme="minorHAnsi" w:hAnsiTheme="minorHAnsi" w:cstheme="minorHAnsi"/>
        </w:rPr>
        <w:br w:type="page"/>
      </w:r>
    </w:p>
    <w:p w:rsidR="005C61B5" w:rsidRPr="00267DB0" w:rsidRDefault="005C61B5" w:rsidP="000B6F8B">
      <w:pPr>
        <w:pStyle w:val="H1left"/>
        <w:rPr>
          <w:rFonts w:asciiTheme="minorHAnsi" w:hAnsiTheme="minorHAnsi" w:cstheme="minorHAnsi"/>
        </w:rPr>
      </w:pPr>
      <w:r w:rsidRPr="00267DB0">
        <w:rPr>
          <w:rFonts w:asciiTheme="minorHAnsi" w:hAnsiTheme="minorHAnsi" w:cstheme="minorHAnsi"/>
        </w:rPr>
        <w:lastRenderedPageBreak/>
        <w:t>Contents</w:t>
      </w:r>
    </w:p>
    <w:p w:rsidR="00B1267C" w:rsidRPr="00267DB0" w:rsidRDefault="00B1267C" w:rsidP="00B1267C">
      <w:pPr>
        <w:pStyle w:val="H2"/>
        <w:rPr>
          <w:rFonts w:asciiTheme="minorHAnsi" w:hAnsiTheme="minorHAnsi" w:cstheme="minorHAnsi"/>
        </w:rPr>
      </w:pPr>
      <w:r w:rsidRPr="00267DB0">
        <w:rPr>
          <w:rFonts w:asciiTheme="minorHAnsi" w:hAnsiTheme="minorHAnsi" w:cstheme="minorHAnsi"/>
        </w:rPr>
        <w:t>Commissioner’s Overview</w:t>
      </w:r>
    </w:p>
    <w:p w:rsidR="00B1267C" w:rsidRPr="00267DB0" w:rsidRDefault="00B1267C" w:rsidP="00B1267C">
      <w:pPr>
        <w:pStyle w:val="BodyText1"/>
        <w:rPr>
          <w:rFonts w:asciiTheme="minorHAnsi" w:hAnsiTheme="minorHAnsi" w:cstheme="minorHAnsi"/>
        </w:rPr>
      </w:pPr>
      <w:r w:rsidRPr="00267DB0">
        <w:rPr>
          <w:rFonts w:asciiTheme="minorHAnsi" w:hAnsiTheme="minorHAnsi" w:cstheme="minorHAnsi"/>
        </w:rPr>
        <w:t>Internal Processes</w:t>
      </w:r>
    </w:p>
    <w:p w:rsidR="00B1267C" w:rsidRPr="00267DB0" w:rsidRDefault="00B1267C" w:rsidP="00B1267C">
      <w:pPr>
        <w:pStyle w:val="BodyText1"/>
        <w:rPr>
          <w:rFonts w:asciiTheme="minorHAnsi" w:hAnsiTheme="minorHAnsi" w:cstheme="minorHAnsi"/>
        </w:rPr>
      </w:pPr>
      <w:r w:rsidRPr="00267DB0">
        <w:rPr>
          <w:rFonts w:asciiTheme="minorHAnsi" w:hAnsiTheme="minorHAnsi" w:cstheme="minorHAnsi"/>
        </w:rPr>
        <w:t>Industry Engagement</w:t>
      </w:r>
    </w:p>
    <w:p w:rsidR="00B1267C" w:rsidRPr="00267DB0" w:rsidRDefault="00B1267C" w:rsidP="00B1267C">
      <w:pPr>
        <w:pStyle w:val="BodyText1"/>
        <w:rPr>
          <w:rFonts w:asciiTheme="minorHAnsi" w:hAnsiTheme="minorHAnsi" w:cstheme="minorHAnsi"/>
        </w:rPr>
      </w:pPr>
      <w:r w:rsidRPr="00267DB0">
        <w:rPr>
          <w:rFonts w:asciiTheme="minorHAnsi" w:hAnsiTheme="minorHAnsi" w:cstheme="minorHAnsi"/>
        </w:rPr>
        <w:t>Facility Visits</w:t>
      </w:r>
    </w:p>
    <w:p w:rsidR="00B1267C" w:rsidRPr="00267DB0" w:rsidRDefault="00B1267C" w:rsidP="00B1267C">
      <w:pPr>
        <w:pStyle w:val="BodyText1"/>
        <w:rPr>
          <w:rFonts w:asciiTheme="minorHAnsi" w:hAnsiTheme="minorHAnsi" w:cstheme="minorHAnsi"/>
        </w:rPr>
      </w:pPr>
      <w:r w:rsidRPr="00267DB0">
        <w:rPr>
          <w:rFonts w:asciiTheme="minorHAnsi" w:hAnsiTheme="minorHAnsi" w:cstheme="minorHAnsi"/>
        </w:rPr>
        <w:t>Financial Year 2018/19</w:t>
      </w:r>
    </w:p>
    <w:p w:rsidR="00B1267C" w:rsidRPr="00267DB0" w:rsidRDefault="00B1267C" w:rsidP="00B1267C">
      <w:pPr>
        <w:pStyle w:val="H2"/>
        <w:rPr>
          <w:rFonts w:asciiTheme="minorHAnsi" w:hAnsiTheme="minorHAnsi" w:cstheme="minorHAnsi"/>
        </w:rPr>
      </w:pPr>
      <w:r w:rsidRPr="00267DB0">
        <w:rPr>
          <w:rFonts w:asciiTheme="minorHAnsi" w:hAnsiTheme="minorHAnsi" w:cstheme="minorHAnsi"/>
        </w:rPr>
        <w:t>Functions of the Aged Care Pricing Commissioner</w:t>
      </w:r>
    </w:p>
    <w:p w:rsidR="00B1267C" w:rsidRPr="00267DB0" w:rsidRDefault="00B1267C" w:rsidP="00B1267C">
      <w:pPr>
        <w:pStyle w:val="BodyText1"/>
        <w:rPr>
          <w:rFonts w:asciiTheme="minorHAnsi" w:hAnsiTheme="minorHAnsi" w:cstheme="minorHAnsi"/>
        </w:rPr>
      </w:pPr>
      <w:r w:rsidRPr="00267DB0">
        <w:rPr>
          <w:rFonts w:asciiTheme="minorHAnsi" w:hAnsiTheme="minorHAnsi" w:cstheme="minorHAnsi"/>
        </w:rPr>
        <w:t>ACPC Operations 2018/19</w:t>
      </w:r>
    </w:p>
    <w:p w:rsidR="00B1267C" w:rsidRPr="00267DB0" w:rsidRDefault="00B1267C" w:rsidP="00B1267C">
      <w:pPr>
        <w:pStyle w:val="BodyText1"/>
        <w:rPr>
          <w:rFonts w:asciiTheme="minorHAnsi" w:hAnsiTheme="minorHAnsi" w:cstheme="minorHAnsi"/>
        </w:rPr>
      </w:pPr>
      <w:r w:rsidRPr="00267DB0">
        <w:rPr>
          <w:rFonts w:asciiTheme="minorHAnsi" w:hAnsiTheme="minorHAnsi" w:cstheme="minorHAnsi"/>
        </w:rPr>
        <w:t>Applications for Extra Service Fees</w:t>
      </w:r>
    </w:p>
    <w:p w:rsidR="00B1267C" w:rsidRPr="00267DB0" w:rsidRDefault="00B1267C" w:rsidP="00B1267C">
      <w:pPr>
        <w:pStyle w:val="H2"/>
        <w:rPr>
          <w:rFonts w:asciiTheme="minorHAnsi" w:hAnsiTheme="minorHAnsi" w:cstheme="minorHAnsi"/>
        </w:rPr>
      </w:pPr>
      <w:r w:rsidRPr="00267DB0">
        <w:rPr>
          <w:rFonts w:asciiTheme="minorHAnsi" w:hAnsiTheme="minorHAnsi" w:cstheme="minorHAnsi"/>
        </w:rPr>
        <w:t>About the Office of the Aged Care Pricing Commissioner</w:t>
      </w:r>
    </w:p>
    <w:p w:rsidR="00B1267C" w:rsidRPr="00267DB0" w:rsidRDefault="00B1267C" w:rsidP="00B1267C">
      <w:pPr>
        <w:pStyle w:val="BodyText1"/>
        <w:rPr>
          <w:rFonts w:asciiTheme="minorHAnsi" w:hAnsiTheme="minorHAnsi" w:cstheme="minorHAnsi"/>
        </w:rPr>
      </w:pPr>
      <w:r w:rsidRPr="00267DB0">
        <w:rPr>
          <w:rFonts w:asciiTheme="minorHAnsi" w:hAnsiTheme="minorHAnsi" w:cstheme="minorHAnsi"/>
        </w:rPr>
        <w:t>Internal and External Review</w:t>
      </w:r>
    </w:p>
    <w:p w:rsidR="00B1267C" w:rsidRPr="00267DB0" w:rsidRDefault="00B1267C" w:rsidP="00B1267C">
      <w:pPr>
        <w:pStyle w:val="BodyText1"/>
        <w:rPr>
          <w:rFonts w:asciiTheme="minorHAnsi" w:hAnsiTheme="minorHAnsi" w:cstheme="minorHAnsi"/>
        </w:rPr>
      </w:pPr>
      <w:r w:rsidRPr="00267DB0">
        <w:rPr>
          <w:rFonts w:asciiTheme="minorHAnsi" w:hAnsiTheme="minorHAnsi" w:cstheme="minorHAnsi"/>
        </w:rPr>
        <w:t xml:space="preserve">Freedom of Information Requests </w:t>
      </w:r>
    </w:p>
    <w:p w:rsidR="00B1267C" w:rsidRPr="00267DB0" w:rsidRDefault="00B1267C" w:rsidP="00B1267C">
      <w:pPr>
        <w:pStyle w:val="BodyText1"/>
        <w:rPr>
          <w:rFonts w:asciiTheme="minorHAnsi" w:hAnsiTheme="minorHAnsi" w:cstheme="minorHAnsi"/>
        </w:rPr>
      </w:pPr>
      <w:r w:rsidRPr="00267DB0">
        <w:rPr>
          <w:rFonts w:asciiTheme="minorHAnsi" w:hAnsiTheme="minorHAnsi" w:cstheme="minorHAnsi"/>
        </w:rPr>
        <w:t>Corporate Governance</w:t>
      </w:r>
    </w:p>
    <w:p w:rsidR="00B1267C" w:rsidRPr="00267DB0" w:rsidRDefault="00B1267C" w:rsidP="00B1267C">
      <w:pPr>
        <w:pStyle w:val="BodyText1"/>
        <w:rPr>
          <w:rFonts w:asciiTheme="minorHAnsi" w:hAnsiTheme="minorHAnsi" w:cstheme="minorHAnsi"/>
        </w:rPr>
      </w:pPr>
      <w:r w:rsidRPr="00267DB0">
        <w:rPr>
          <w:rFonts w:asciiTheme="minorHAnsi" w:hAnsiTheme="minorHAnsi" w:cstheme="minorHAnsi"/>
        </w:rPr>
        <w:t>Budget and Staffing</w:t>
      </w:r>
    </w:p>
    <w:p w:rsidR="00B1267C" w:rsidRPr="00267DB0" w:rsidRDefault="00B1267C" w:rsidP="00B1267C">
      <w:pPr>
        <w:pStyle w:val="BodyText1"/>
        <w:rPr>
          <w:rFonts w:asciiTheme="minorHAnsi" w:hAnsiTheme="minorHAnsi" w:cstheme="minorHAnsi"/>
        </w:rPr>
      </w:pPr>
      <w:r w:rsidRPr="00267DB0">
        <w:rPr>
          <w:rFonts w:asciiTheme="minorHAnsi" w:hAnsiTheme="minorHAnsi" w:cstheme="minorHAnsi"/>
        </w:rPr>
        <w:t>Aged Care Financing Authority</w:t>
      </w:r>
    </w:p>
    <w:p w:rsidR="00B1267C" w:rsidRPr="00267DB0" w:rsidRDefault="00B1267C" w:rsidP="00B1267C">
      <w:pPr>
        <w:pStyle w:val="H2"/>
        <w:rPr>
          <w:rFonts w:asciiTheme="minorHAnsi" w:hAnsiTheme="minorHAnsi" w:cstheme="minorHAnsi"/>
        </w:rPr>
      </w:pPr>
      <w:r w:rsidRPr="00267DB0">
        <w:rPr>
          <w:rFonts w:asciiTheme="minorHAnsi" w:hAnsiTheme="minorHAnsi" w:cstheme="minorHAnsi"/>
        </w:rPr>
        <w:t>Future Developments in 2019/20</w:t>
      </w:r>
    </w:p>
    <w:p w:rsidR="00B1267C" w:rsidRPr="00267DB0" w:rsidRDefault="00B1267C" w:rsidP="00B1267C">
      <w:pPr>
        <w:pStyle w:val="H2"/>
        <w:rPr>
          <w:rFonts w:asciiTheme="minorHAnsi" w:hAnsiTheme="minorHAnsi" w:cstheme="minorHAnsi"/>
        </w:rPr>
      </w:pPr>
      <w:r w:rsidRPr="00267DB0">
        <w:rPr>
          <w:rFonts w:asciiTheme="minorHAnsi" w:hAnsiTheme="minorHAnsi" w:cstheme="minorHAnsi"/>
        </w:rPr>
        <w:t>Acknowledgements &amp; Thanks</w:t>
      </w:r>
    </w:p>
    <w:p w:rsidR="00985C3B" w:rsidRPr="00267DB0" w:rsidRDefault="00B1267C" w:rsidP="00B1267C">
      <w:pPr>
        <w:pStyle w:val="H2"/>
        <w:rPr>
          <w:rFonts w:asciiTheme="minorHAnsi" w:hAnsiTheme="minorHAnsi" w:cstheme="minorHAnsi"/>
          <w:sz w:val="40"/>
          <w:szCs w:val="32"/>
        </w:rPr>
      </w:pPr>
      <w:r w:rsidRPr="00267DB0">
        <w:rPr>
          <w:rFonts w:asciiTheme="minorHAnsi" w:hAnsiTheme="minorHAnsi" w:cstheme="minorHAnsi"/>
        </w:rPr>
        <w:t>Contacts</w:t>
      </w:r>
      <w:r w:rsidR="00985C3B" w:rsidRPr="00267DB0">
        <w:rPr>
          <w:rFonts w:asciiTheme="minorHAnsi" w:hAnsiTheme="minorHAnsi" w:cstheme="minorHAnsi"/>
        </w:rPr>
        <w:br w:type="page"/>
      </w:r>
    </w:p>
    <w:p w:rsidR="00750D16" w:rsidRPr="00267DB0" w:rsidRDefault="005C61B5" w:rsidP="005C61B5">
      <w:pPr>
        <w:pStyle w:val="H1left"/>
        <w:rPr>
          <w:rFonts w:asciiTheme="minorHAnsi" w:hAnsiTheme="minorHAnsi" w:cstheme="minorHAnsi"/>
        </w:rPr>
      </w:pPr>
      <w:r w:rsidRPr="00267DB0">
        <w:rPr>
          <w:rFonts w:asciiTheme="minorHAnsi" w:hAnsiTheme="minorHAnsi" w:cstheme="minorHAnsi"/>
        </w:rPr>
        <w:lastRenderedPageBreak/>
        <w:t>Commissioner’s Overview</w:t>
      </w:r>
    </w:p>
    <w:p w:rsidR="00B1267C" w:rsidRPr="00267DB0" w:rsidRDefault="00B1267C" w:rsidP="006C49FD">
      <w:pPr>
        <w:pStyle w:val="BodyText1"/>
        <w:rPr>
          <w:rFonts w:asciiTheme="minorHAnsi" w:hAnsiTheme="minorHAnsi" w:cstheme="minorHAnsi"/>
        </w:rPr>
      </w:pPr>
      <w:r w:rsidRPr="00267DB0">
        <w:rPr>
          <w:rFonts w:asciiTheme="minorHAnsi" w:hAnsiTheme="minorHAnsi" w:cstheme="minorHAnsi"/>
        </w:rPr>
        <w:t>I am delighted to present the sixth Annual Report on the operations of the Aged Care Pricing Commissioner covering the period from 1 July 2018 to 30 June 2019.</w:t>
      </w:r>
    </w:p>
    <w:p w:rsidR="00B1267C" w:rsidRPr="00267DB0" w:rsidRDefault="00B1267C" w:rsidP="00B1267C">
      <w:pPr>
        <w:pStyle w:val="BodyText1"/>
        <w:rPr>
          <w:rFonts w:asciiTheme="minorHAnsi" w:hAnsiTheme="minorHAnsi" w:cstheme="minorHAnsi"/>
        </w:rPr>
      </w:pPr>
      <w:r w:rsidRPr="00267DB0">
        <w:rPr>
          <w:rFonts w:asciiTheme="minorHAnsi" w:hAnsiTheme="minorHAnsi" w:cstheme="minorHAnsi"/>
        </w:rPr>
        <w:t>This is my second Annual Report as Aged Care Pricing Commissioner and in my view marks an interesting and important time in the history of Australia’s Aged Care Industry, especially with the creation and the ongoing work of the Royal Commission into Aged Care Quality and Safety.</w:t>
      </w:r>
    </w:p>
    <w:p w:rsidR="00B1267C" w:rsidRPr="00267DB0" w:rsidRDefault="00B1267C" w:rsidP="00B1267C">
      <w:pPr>
        <w:pStyle w:val="BodyText1"/>
        <w:rPr>
          <w:rFonts w:asciiTheme="minorHAnsi" w:hAnsiTheme="minorHAnsi" w:cstheme="minorHAnsi"/>
        </w:rPr>
      </w:pPr>
      <w:r w:rsidRPr="00267DB0">
        <w:rPr>
          <w:rFonts w:asciiTheme="minorHAnsi" w:hAnsiTheme="minorHAnsi" w:cstheme="minorHAnsi"/>
        </w:rPr>
        <w:t>I am very pleased to be working to Minister Richard Colbeck as Minister for Aged Care and Senior Australians. I look forward to working with Minister Colbeck in the years ahead and contributing positively to meaningful improvements in the Australian Aged Care Industry.</w:t>
      </w:r>
    </w:p>
    <w:p w:rsidR="00B1267C" w:rsidRPr="00267DB0" w:rsidRDefault="00B1267C" w:rsidP="00B1267C">
      <w:pPr>
        <w:pStyle w:val="BodyText1"/>
        <w:rPr>
          <w:rFonts w:asciiTheme="minorHAnsi" w:hAnsiTheme="minorHAnsi" w:cstheme="minorHAnsi"/>
        </w:rPr>
      </w:pPr>
      <w:r w:rsidRPr="00267DB0">
        <w:rPr>
          <w:rFonts w:asciiTheme="minorHAnsi" w:hAnsiTheme="minorHAnsi" w:cstheme="minorHAnsi"/>
        </w:rPr>
        <w:t xml:space="preserve">I would like to take this opportunity to thank Minister Wyatt for his guidance and support over the last 12 months. I would also like to publicly congratulate Minister Wyatt on his elevation to Cabinet as Minister for Indigenous Australians, a role I believe he is uniquely suited to and will no doubt carry out with grace, dignity and the utmost integrity. </w:t>
      </w:r>
    </w:p>
    <w:p w:rsidR="00B1267C" w:rsidRPr="00267DB0" w:rsidRDefault="00B1267C" w:rsidP="00B1267C">
      <w:pPr>
        <w:pStyle w:val="BodyText1"/>
        <w:rPr>
          <w:rFonts w:asciiTheme="minorHAnsi" w:hAnsiTheme="minorHAnsi" w:cstheme="minorHAnsi"/>
        </w:rPr>
      </w:pPr>
      <w:r w:rsidRPr="00267DB0">
        <w:rPr>
          <w:rFonts w:asciiTheme="minorHAnsi" w:hAnsiTheme="minorHAnsi" w:cstheme="minorHAnsi"/>
        </w:rPr>
        <w:t xml:space="preserve">The Office of the Aged Care Pricing Commissioner contributes in a positive way to the achievement of the Government’s objectives under the </w:t>
      </w:r>
      <w:r w:rsidRPr="00267DB0">
        <w:rPr>
          <w:rStyle w:val="Italic"/>
          <w:rFonts w:asciiTheme="minorHAnsi" w:hAnsiTheme="minorHAnsi" w:cstheme="minorHAnsi"/>
          <w:color w:val="auto"/>
          <w:sz w:val="20"/>
          <w:szCs w:val="20"/>
        </w:rPr>
        <w:t>Aged Care Act 1997</w:t>
      </w:r>
      <w:r w:rsidRPr="00267DB0">
        <w:rPr>
          <w:rStyle w:val="Italic"/>
          <w:rFonts w:asciiTheme="minorHAnsi" w:hAnsiTheme="minorHAnsi" w:cstheme="minorHAnsi"/>
          <w:i w:val="0"/>
          <w:iCs w:val="0"/>
          <w:color w:val="auto"/>
          <w:sz w:val="20"/>
          <w:szCs w:val="20"/>
        </w:rPr>
        <w:t>,</w:t>
      </w:r>
      <w:r w:rsidRPr="00267DB0">
        <w:rPr>
          <w:rFonts w:asciiTheme="minorHAnsi" w:hAnsiTheme="minorHAnsi" w:cstheme="minorHAnsi"/>
        </w:rPr>
        <w:t xml:space="preserve"> to improve and increase transparency in pricing in Residential Aged Care Services, ensuring at all times aged care residents , paying Refundable Accommodation Deposits (RAD) greater then $550,000 receive real value in terms of quality accommodation, services and amenity of facilities.</w:t>
      </w:r>
    </w:p>
    <w:p w:rsidR="00B1267C" w:rsidRPr="00267DB0" w:rsidRDefault="00B1267C" w:rsidP="00B1267C">
      <w:pPr>
        <w:pStyle w:val="BodyText1"/>
        <w:rPr>
          <w:rFonts w:asciiTheme="minorHAnsi" w:hAnsiTheme="minorHAnsi" w:cstheme="minorHAnsi"/>
        </w:rPr>
      </w:pPr>
      <w:r w:rsidRPr="00267DB0">
        <w:rPr>
          <w:rFonts w:asciiTheme="minorHAnsi" w:hAnsiTheme="minorHAnsi" w:cstheme="minorHAnsi"/>
        </w:rPr>
        <w:t>The main statutory functions of the Aged Care Pricing Commissioner are to:</w:t>
      </w:r>
    </w:p>
    <w:p w:rsidR="00B1267C" w:rsidRPr="00267DB0" w:rsidRDefault="00B1267C" w:rsidP="00D82E0F">
      <w:pPr>
        <w:pStyle w:val="Bulletlist"/>
        <w:numPr>
          <w:ilvl w:val="0"/>
          <w:numId w:val="9"/>
        </w:numPr>
        <w:ind w:left="284" w:hanging="284"/>
        <w:rPr>
          <w:rFonts w:asciiTheme="minorHAnsi" w:hAnsiTheme="minorHAnsi" w:cstheme="minorHAnsi"/>
        </w:rPr>
      </w:pPr>
      <w:r w:rsidRPr="00267DB0">
        <w:rPr>
          <w:rFonts w:asciiTheme="minorHAnsi" w:hAnsiTheme="minorHAnsi" w:cstheme="minorHAnsi"/>
        </w:rPr>
        <w:t>Review and approve proposed accommodation payments that are higher than the maximum amount of $550,000 as determined by the Minister; and</w:t>
      </w:r>
    </w:p>
    <w:p w:rsidR="00B1267C" w:rsidRPr="00267DB0" w:rsidRDefault="00B1267C" w:rsidP="00D82E0F">
      <w:pPr>
        <w:pStyle w:val="Bulletlist"/>
        <w:numPr>
          <w:ilvl w:val="0"/>
          <w:numId w:val="9"/>
        </w:numPr>
        <w:ind w:left="284" w:hanging="284"/>
        <w:rPr>
          <w:rFonts w:asciiTheme="minorHAnsi" w:hAnsiTheme="minorHAnsi" w:cstheme="minorHAnsi"/>
        </w:rPr>
      </w:pPr>
      <w:r w:rsidRPr="00267DB0">
        <w:rPr>
          <w:rFonts w:asciiTheme="minorHAnsi" w:hAnsiTheme="minorHAnsi" w:cstheme="minorHAnsi"/>
        </w:rPr>
        <w:t>Review and determine applications for changes in Extra Service Fees.</w:t>
      </w:r>
    </w:p>
    <w:p w:rsidR="00B1267C" w:rsidRPr="00267DB0" w:rsidRDefault="00B1267C" w:rsidP="00B1267C">
      <w:pPr>
        <w:pStyle w:val="BodyText1"/>
        <w:rPr>
          <w:rFonts w:asciiTheme="minorHAnsi" w:hAnsiTheme="minorHAnsi" w:cstheme="minorHAnsi"/>
        </w:rPr>
      </w:pPr>
      <w:r w:rsidRPr="00267DB0">
        <w:rPr>
          <w:rFonts w:asciiTheme="minorHAnsi" w:hAnsiTheme="minorHAnsi" w:cstheme="minorHAnsi"/>
        </w:rPr>
        <w:t>In the Statement of Expectations, the then Minister for Aged Care expressed the Government’s vision for the Aged Care Pricing Commissioner in the following terms:</w:t>
      </w:r>
    </w:p>
    <w:p w:rsidR="00B1267C" w:rsidRPr="00267DB0" w:rsidRDefault="00B1267C" w:rsidP="006C49FD">
      <w:pPr>
        <w:pStyle w:val="BodyText1"/>
        <w:ind w:left="720"/>
        <w:rPr>
          <w:rFonts w:asciiTheme="minorHAnsi" w:hAnsiTheme="minorHAnsi" w:cstheme="minorHAnsi"/>
          <w:i/>
          <w:iCs/>
        </w:rPr>
      </w:pPr>
      <w:r w:rsidRPr="00267DB0">
        <w:rPr>
          <w:rFonts w:asciiTheme="minorHAnsi" w:hAnsiTheme="minorHAnsi" w:cstheme="minorHAnsi"/>
          <w:i/>
          <w:iCs/>
        </w:rPr>
        <w:t>“…that the Commissioner contributes to Government objectives to increase levels of transparency in the pricing of Residential Aged Care services and to ensure that residents receive quality accommodation and services where higher prices are paid, and approve extra service fees. In doing so, the Commissioner has a role to play in improving confidence in the regulation of aged care and in the aged care sector itself in a way that minimises the burden on care recipients, consumers and approved providers.”</w:t>
      </w:r>
    </w:p>
    <w:p w:rsidR="00B1267C" w:rsidRPr="00267DB0" w:rsidRDefault="00B1267C" w:rsidP="006C49FD">
      <w:pPr>
        <w:pStyle w:val="H2"/>
        <w:rPr>
          <w:rFonts w:asciiTheme="minorHAnsi" w:hAnsiTheme="minorHAnsi" w:cstheme="minorHAnsi"/>
        </w:rPr>
      </w:pPr>
      <w:r w:rsidRPr="00267DB0">
        <w:rPr>
          <w:rFonts w:asciiTheme="minorHAnsi" w:hAnsiTheme="minorHAnsi" w:cstheme="minorHAnsi"/>
        </w:rPr>
        <w:t>Internal Processes</w:t>
      </w:r>
    </w:p>
    <w:p w:rsidR="00B1267C" w:rsidRPr="00267DB0" w:rsidRDefault="00B1267C" w:rsidP="00B1267C">
      <w:pPr>
        <w:pStyle w:val="BodyText1"/>
        <w:rPr>
          <w:rFonts w:asciiTheme="minorHAnsi" w:hAnsiTheme="minorHAnsi" w:cstheme="minorHAnsi"/>
        </w:rPr>
      </w:pPr>
      <w:r w:rsidRPr="00267DB0">
        <w:rPr>
          <w:rFonts w:asciiTheme="minorHAnsi" w:hAnsiTheme="minorHAnsi" w:cstheme="minorHAnsi"/>
        </w:rPr>
        <w:t>The Office of the Aged Care Pricing Commissioner has strived to keep this vision in mind when reviewing applications for RAD and applications for changes to Extra Service Fees (ES Fees). I want to ensure that our internal processes and procedures are simple, clear and applied consistently at all times. In my view, good administrative practices not only assist with compliance but can result in better business performance outcomes for Aged Care Providers, Consumers and all involved in the Aged Care Industry.</w:t>
      </w:r>
    </w:p>
    <w:p w:rsidR="00B1267C" w:rsidRPr="00267DB0" w:rsidRDefault="00B1267C" w:rsidP="00B1267C">
      <w:pPr>
        <w:pStyle w:val="BodyText1"/>
        <w:rPr>
          <w:rFonts w:asciiTheme="minorHAnsi" w:hAnsiTheme="minorHAnsi" w:cstheme="minorHAnsi"/>
        </w:rPr>
      </w:pPr>
      <w:r w:rsidRPr="00267DB0">
        <w:rPr>
          <w:rFonts w:asciiTheme="minorHAnsi" w:hAnsiTheme="minorHAnsi" w:cstheme="minorHAnsi"/>
        </w:rPr>
        <w:t>We are working towards implementing the following initiatives over the next 12 to 18 months:</w:t>
      </w:r>
    </w:p>
    <w:p w:rsidR="00B1267C" w:rsidRPr="00267DB0" w:rsidRDefault="00B1267C" w:rsidP="00D82E0F">
      <w:pPr>
        <w:pStyle w:val="BodyText1"/>
        <w:numPr>
          <w:ilvl w:val="0"/>
          <w:numId w:val="10"/>
        </w:numPr>
        <w:ind w:left="284" w:hanging="284"/>
        <w:rPr>
          <w:rFonts w:asciiTheme="minorHAnsi" w:hAnsiTheme="minorHAnsi" w:cstheme="minorHAnsi"/>
        </w:rPr>
      </w:pPr>
      <w:r w:rsidRPr="00267DB0">
        <w:rPr>
          <w:rFonts w:asciiTheme="minorHAnsi" w:hAnsiTheme="minorHAnsi" w:cstheme="minorHAnsi"/>
        </w:rPr>
        <w:t>Online application forms for both RAD and ES Fees;</w:t>
      </w:r>
    </w:p>
    <w:p w:rsidR="00B1267C" w:rsidRPr="00267DB0" w:rsidRDefault="00B1267C" w:rsidP="00D82E0F">
      <w:pPr>
        <w:pStyle w:val="BodyText1"/>
        <w:numPr>
          <w:ilvl w:val="0"/>
          <w:numId w:val="10"/>
        </w:numPr>
        <w:ind w:left="284" w:hanging="284"/>
        <w:rPr>
          <w:rFonts w:asciiTheme="minorHAnsi" w:hAnsiTheme="minorHAnsi" w:cstheme="minorHAnsi"/>
        </w:rPr>
      </w:pPr>
      <w:r w:rsidRPr="00267DB0">
        <w:rPr>
          <w:rFonts w:asciiTheme="minorHAnsi" w:hAnsiTheme="minorHAnsi" w:cstheme="minorHAnsi"/>
        </w:rPr>
        <w:t>New User Guides with best practice examples for both RAD and ES Fees applications;</w:t>
      </w:r>
    </w:p>
    <w:p w:rsidR="00B1267C" w:rsidRPr="00267DB0" w:rsidRDefault="00B1267C" w:rsidP="00D82E0F">
      <w:pPr>
        <w:pStyle w:val="BodyText1"/>
        <w:numPr>
          <w:ilvl w:val="0"/>
          <w:numId w:val="10"/>
        </w:numPr>
        <w:ind w:left="284" w:hanging="284"/>
        <w:rPr>
          <w:rFonts w:asciiTheme="minorHAnsi" w:hAnsiTheme="minorHAnsi" w:cstheme="minorHAnsi"/>
        </w:rPr>
      </w:pPr>
      <w:r w:rsidRPr="00267DB0">
        <w:rPr>
          <w:rFonts w:asciiTheme="minorHAnsi" w:hAnsiTheme="minorHAnsi" w:cstheme="minorHAnsi"/>
        </w:rPr>
        <w:t>Updated FAQs; and</w:t>
      </w:r>
    </w:p>
    <w:p w:rsidR="00B1267C" w:rsidRPr="00267DB0" w:rsidRDefault="00B1267C" w:rsidP="00D82E0F">
      <w:pPr>
        <w:pStyle w:val="BodyText1"/>
        <w:numPr>
          <w:ilvl w:val="0"/>
          <w:numId w:val="10"/>
        </w:numPr>
        <w:ind w:left="284" w:hanging="284"/>
        <w:rPr>
          <w:rFonts w:asciiTheme="minorHAnsi" w:hAnsiTheme="minorHAnsi" w:cstheme="minorHAnsi"/>
        </w:rPr>
      </w:pPr>
      <w:r w:rsidRPr="00267DB0">
        <w:rPr>
          <w:rFonts w:asciiTheme="minorHAnsi" w:hAnsiTheme="minorHAnsi" w:cstheme="minorHAnsi"/>
        </w:rPr>
        <w:t>Revitalised website.</w:t>
      </w:r>
    </w:p>
    <w:p w:rsidR="00B1267C" w:rsidRPr="00267DB0" w:rsidRDefault="00B1267C" w:rsidP="00B1267C">
      <w:pPr>
        <w:pStyle w:val="BodyText1"/>
        <w:rPr>
          <w:rFonts w:asciiTheme="minorHAnsi" w:hAnsiTheme="minorHAnsi" w:cstheme="minorHAnsi"/>
        </w:rPr>
      </w:pPr>
      <w:r w:rsidRPr="00267DB0">
        <w:rPr>
          <w:rFonts w:asciiTheme="minorHAnsi" w:hAnsiTheme="minorHAnsi" w:cstheme="minorHAnsi"/>
        </w:rPr>
        <w:t xml:space="preserve">Of special importance to me was the launch in April 2019 of a short animated video on the activities of The Office of the Aged Care Pricing Commissioner. This video and other updates can be accessed via our website </w:t>
      </w:r>
      <w:hyperlink r:id="rId8" w:history="1">
        <w:r w:rsidRPr="00267DB0">
          <w:rPr>
            <w:rStyle w:val="Hyperlink"/>
            <w:rFonts w:asciiTheme="minorHAnsi" w:hAnsiTheme="minorHAnsi" w:cstheme="minorHAnsi"/>
          </w:rPr>
          <w:t>www.acpc.gov.au</w:t>
        </w:r>
      </w:hyperlink>
      <w:r w:rsidRPr="00267DB0">
        <w:rPr>
          <w:rFonts w:asciiTheme="minorHAnsi" w:hAnsiTheme="minorHAnsi" w:cstheme="minorHAnsi"/>
        </w:rPr>
        <w:t>.</w:t>
      </w:r>
    </w:p>
    <w:p w:rsidR="00B1267C" w:rsidRPr="00267DB0" w:rsidRDefault="00B1267C" w:rsidP="006C49FD">
      <w:pPr>
        <w:pStyle w:val="H2"/>
        <w:rPr>
          <w:rFonts w:asciiTheme="minorHAnsi" w:hAnsiTheme="minorHAnsi" w:cstheme="minorHAnsi"/>
        </w:rPr>
      </w:pPr>
      <w:r w:rsidRPr="00267DB0">
        <w:rPr>
          <w:rFonts w:asciiTheme="minorHAnsi" w:hAnsiTheme="minorHAnsi" w:cstheme="minorHAnsi"/>
        </w:rPr>
        <w:lastRenderedPageBreak/>
        <w:t>Industry Engagement</w:t>
      </w:r>
    </w:p>
    <w:p w:rsidR="00B1267C" w:rsidRPr="00267DB0" w:rsidRDefault="00B1267C" w:rsidP="00B1267C">
      <w:pPr>
        <w:pStyle w:val="BodyText1"/>
        <w:rPr>
          <w:rFonts w:asciiTheme="minorHAnsi" w:hAnsiTheme="minorHAnsi" w:cstheme="minorHAnsi"/>
        </w:rPr>
      </w:pPr>
      <w:r w:rsidRPr="00267DB0">
        <w:rPr>
          <w:rFonts w:asciiTheme="minorHAnsi" w:hAnsiTheme="minorHAnsi" w:cstheme="minorHAnsi"/>
        </w:rPr>
        <w:t>A practical application of our vision has been the creation of an Industry Reference and Working Group (IRWG). The IRWG was created in late 2018 and comprises representatives from peak industry bodies such as Aged &amp; Community Services Australia (ACSA), Leading Aged Services Australia (LASA) and the Aged Care Guild, COTA, Dementia Australia as well as a number of For Profit and Not For Profit Providers. The aim of the IRWG is to transform the Office of the Aged Care Pricing Commissioner’s processes and procedures.</w:t>
      </w:r>
    </w:p>
    <w:p w:rsidR="00B1267C" w:rsidRPr="00267DB0" w:rsidRDefault="00B1267C" w:rsidP="00B1267C">
      <w:pPr>
        <w:pStyle w:val="BodyText1"/>
        <w:rPr>
          <w:rFonts w:asciiTheme="minorHAnsi" w:hAnsiTheme="minorHAnsi" w:cstheme="minorHAnsi"/>
        </w:rPr>
      </w:pPr>
      <w:r w:rsidRPr="00267DB0">
        <w:rPr>
          <w:rFonts w:asciiTheme="minorHAnsi" w:hAnsiTheme="minorHAnsi" w:cstheme="minorHAnsi"/>
        </w:rPr>
        <w:t xml:space="preserve">During the year I also had the pleasure of participating in a webinar courtesy of LASA and presenting to the Aged Care Quality and Safety Advisory Council. I was also invited to sit on a panel at a COTA Conference in Sydney in November 2018 where we explored the Future of Finance in Aged Care. </w:t>
      </w:r>
    </w:p>
    <w:p w:rsidR="006C49FD" w:rsidRPr="00267DB0" w:rsidRDefault="006C49FD" w:rsidP="006C49FD">
      <w:pPr>
        <w:pStyle w:val="H2"/>
        <w:rPr>
          <w:rFonts w:asciiTheme="minorHAnsi" w:hAnsiTheme="minorHAnsi" w:cstheme="minorHAnsi"/>
        </w:rPr>
      </w:pPr>
      <w:r w:rsidRPr="00267DB0">
        <w:rPr>
          <w:rFonts w:asciiTheme="minorHAnsi" w:hAnsiTheme="minorHAnsi" w:cstheme="minorHAnsi"/>
        </w:rPr>
        <w:t xml:space="preserve">Facility Visits </w:t>
      </w:r>
    </w:p>
    <w:p w:rsidR="006C49FD" w:rsidRPr="00267DB0" w:rsidRDefault="006C49FD" w:rsidP="006C49FD">
      <w:pPr>
        <w:pStyle w:val="BodyText1"/>
        <w:rPr>
          <w:rFonts w:asciiTheme="minorHAnsi" w:hAnsiTheme="minorHAnsi" w:cstheme="minorHAnsi"/>
        </w:rPr>
      </w:pPr>
      <w:r w:rsidRPr="00267DB0">
        <w:rPr>
          <w:rFonts w:asciiTheme="minorHAnsi" w:hAnsiTheme="minorHAnsi" w:cstheme="minorHAnsi"/>
        </w:rPr>
        <w:t xml:space="preserve">This year I had the privilege of visiting over 80 Residential Aged Care Facilities (RACF) across Australia covering all States and Territories with the exception of the Northern Territory, which I hope to visit in the next financial year. These visits enabled me to see firsthand a range of RACF, varying from Wintringham in Port Melbourne which caters for the homeless and socially disadvantaged, through to multi-storey complexes providing residential aged care alongside commercial services and independent living units. </w:t>
      </w:r>
    </w:p>
    <w:p w:rsidR="006C49FD" w:rsidRPr="00267DB0" w:rsidRDefault="006C49FD" w:rsidP="006C49FD">
      <w:pPr>
        <w:pStyle w:val="BodyText1"/>
        <w:rPr>
          <w:rFonts w:asciiTheme="minorHAnsi" w:hAnsiTheme="minorHAnsi" w:cstheme="minorHAnsi"/>
        </w:rPr>
      </w:pPr>
      <w:r w:rsidRPr="00267DB0">
        <w:rPr>
          <w:rFonts w:asciiTheme="minorHAnsi" w:hAnsiTheme="minorHAnsi" w:cstheme="minorHAnsi"/>
        </w:rPr>
        <w:t xml:space="preserve">These visits have assisted me as the Aged Care Pricing Commissioner to attain a better appreciation of pricing and explain how the Office of the Aged Care Pricing Commissioner goes about its business and the factors it takes into account in carrying out assessments. </w:t>
      </w:r>
    </w:p>
    <w:p w:rsidR="006C49FD" w:rsidRPr="00267DB0" w:rsidRDefault="006C49FD" w:rsidP="006C49FD">
      <w:pPr>
        <w:pStyle w:val="BodyText1"/>
        <w:rPr>
          <w:rFonts w:asciiTheme="minorHAnsi" w:hAnsiTheme="minorHAnsi" w:cstheme="minorHAnsi"/>
        </w:rPr>
      </w:pPr>
      <w:r w:rsidRPr="00267DB0">
        <w:rPr>
          <w:rFonts w:asciiTheme="minorHAnsi" w:hAnsiTheme="minorHAnsi" w:cstheme="minorHAnsi"/>
        </w:rPr>
        <w:t xml:space="preserve">It also provides the opportunity to hear plans for new developments, visit facilities under construction, attend official openings of facilities once complete, discuss financial pressures and concerns facing Aged Care Providers, and ultimately see the value being provided to the Consumer of Residential Aged Care Services. </w:t>
      </w:r>
    </w:p>
    <w:p w:rsidR="006C49FD" w:rsidRPr="00267DB0" w:rsidRDefault="006C49FD" w:rsidP="006C49FD">
      <w:pPr>
        <w:pStyle w:val="H3"/>
        <w:rPr>
          <w:rFonts w:asciiTheme="minorHAnsi" w:hAnsiTheme="minorHAnsi" w:cstheme="minorHAnsi"/>
        </w:rPr>
      </w:pPr>
      <w:r w:rsidRPr="00267DB0">
        <w:rPr>
          <w:rFonts w:asciiTheme="minorHAnsi" w:hAnsiTheme="minorHAnsi" w:cstheme="minorHAnsi"/>
        </w:rPr>
        <w:t>Infographic explaining the key assessment criteria for proposed RAD</w:t>
      </w:r>
      <w:r w:rsidR="00D82E0F">
        <w:rPr>
          <w:rFonts w:asciiTheme="minorHAnsi" w:hAnsiTheme="minorHAnsi" w:cstheme="minorHAnsi"/>
        </w:rPr>
        <w:t>s</w:t>
      </w:r>
      <w:r w:rsidRPr="00267DB0">
        <w:rPr>
          <w:rFonts w:asciiTheme="minorHAnsi" w:hAnsiTheme="minorHAnsi" w:cstheme="minorHAnsi"/>
        </w:rPr>
        <w:t xml:space="preserve"> </w:t>
      </w:r>
    </w:p>
    <w:p w:rsidR="00F410F8" w:rsidRPr="00267DB0" w:rsidRDefault="006C49FD" w:rsidP="006C49FD">
      <w:pPr>
        <w:pStyle w:val="BodyText1"/>
        <w:rPr>
          <w:rFonts w:asciiTheme="minorHAnsi" w:hAnsiTheme="minorHAnsi" w:cstheme="minorHAnsi"/>
        </w:rPr>
      </w:pPr>
      <w:r w:rsidRPr="00267DB0">
        <w:rPr>
          <w:rFonts w:asciiTheme="minorHAnsi" w:hAnsiTheme="minorHAnsi" w:cstheme="minorHAnsi"/>
        </w:rPr>
        <w:t>Key assessment criteria when evaluating proposed RAD</w:t>
      </w:r>
      <w:r w:rsidR="00BD4396">
        <w:rPr>
          <w:rFonts w:asciiTheme="minorHAnsi" w:hAnsiTheme="minorHAnsi" w:cstheme="minorHAnsi"/>
        </w:rPr>
        <w:t>s</w:t>
      </w:r>
      <w:r w:rsidRPr="00267DB0">
        <w:rPr>
          <w:rFonts w:asciiTheme="minorHAnsi" w:hAnsiTheme="minorHAnsi" w:cstheme="minorHAnsi"/>
        </w:rPr>
        <w:t xml:space="preserve"> above $550,000</w:t>
      </w:r>
    </w:p>
    <w:p w:rsidR="006C49FD" w:rsidRPr="00267DB0" w:rsidRDefault="006C49FD" w:rsidP="006C49FD">
      <w:pPr>
        <w:pStyle w:val="H4"/>
        <w:rPr>
          <w:rFonts w:asciiTheme="minorHAnsi" w:hAnsiTheme="minorHAnsi" w:cstheme="minorHAnsi"/>
        </w:rPr>
      </w:pPr>
      <w:r w:rsidRPr="00267DB0">
        <w:rPr>
          <w:rFonts w:asciiTheme="minorHAnsi" w:hAnsiTheme="minorHAnsi" w:cstheme="minorHAnsi"/>
        </w:rPr>
        <w:t>Qualitative analysis</w:t>
      </w:r>
    </w:p>
    <w:p w:rsidR="006C49FD" w:rsidRPr="00267DB0" w:rsidRDefault="006C49FD" w:rsidP="00AD6E03">
      <w:pPr>
        <w:pStyle w:val="Bulletlist"/>
        <w:rPr>
          <w:rFonts w:asciiTheme="minorHAnsi" w:hAnsiTheme="minorHAnsi" w:cstheme="minorHAnsi"/>
        </w:rPr>
      </w:pPr>
      <w:r w:rsidRPr="00267DB0">
        <w:rPr>
          <w:rFonts w:asciiTheme="minorHAnsi" w:hAnsiTheme="minorHAnsi" w:cstheme="minorHAnsi"/>
        </w:rPr>
        <w:t>A key part of our assessment is the quantitative analysis of the ‘numbers’ that you provide us for each room – the proposed price, the room size and the amount of common area associated with that room.</w:t>
      </w:r>
    </w:p>
    <w:p w:rsidR="006C49FD" w:rsidRPr="00267DB0" w:rsidRDefault="006C49FD" w:rsidP="00AD6E03">
      <w:pPr>
        <w:pStyle w:val="Bulletlist"/>
        <w:rPr>
          <w:rFonts w:asciiTheme="minorHAnsi" w:hAnsiTheme="minorHAnsi" w:cstheme="minorHAnsi"/>
        </w:rPr>
      </w:pPr>
      <w:r w:rsidRPr="00267DB0">
        <w:rPr>
          <w:rFonts w:asciiTheme="minorHAnsi" w:hAnsiTheme="minorHAnsi" w:cstheme="minorHAnsi"/>
        </w:rPr>
        <w:t>We consider how each factor compares with other facilities in the local area, within the state and the overall median house price for the facility location.</w:t>
      </w:r>
    </w:p>
    <w:p w:rsidR="00AD6E03" w:rsidRPr="00267DB0" w:rsidRDefault="00AD6E03" w:rsidP="00AD6E03">
      <w:pPr>
        <w:pStyle w:val="Bulletlist"/>
        <w:rPr>
          <w:rFonts w:asciiTheme="minorHAnsi" w:hAnsiTheme="minorHAnsi" w:cstheme="minorHAnsi"/>
        </w:rPr>
      </w:pPr>
      <w:r w:rsidRPr="00267DB0">
        <w:rPr>
          <w:rFonts w:asciiTheme="minorHAnsi" w:hAnsiTheme="minorHAnsi" w:cstheme="minorHAnsi"/>
        </w:rPr>
        <w:t>And if you have multiple accommodation groups in your facility we check that the numbers reflect your internal pricing rationale.</w:t>
      </w:r>
    </w:p>
    <w:p w:rsidR="00AD6E03" w:rsidRPr="00267DB0" w:rsidRDefault="00AD6E03" w:rsidP="00AD6E03">
      <w:pPr>
        <w:pStyle w:val="BodyText1"/>
        <w:rPr>
          <w:rFonts w:asciiTheme="minorHAnsi" w:hAnsiTheme="minorHAnsi" w:cstheme="minorHAnsi"/>
        </w:rPr>
      </w:pPr>
      <w:r w:rsidRPr="00267DB0">
        <w:rPr>
          <w:rFonts w:asciiTheme="minorHAnsi" w:hAnsiTheme="minorHAnsi" w:cstheme="minorHAnsi"/>
        </w:rPr>
        <w:t>The question we ask ourselves throughout the assessment is… Does this proposed RAD represent value to the resident?</w:t>
      </w:r>
    </w:p>
    <w:p w:rsidR="00AD6E03" w:rsidRPr="00267DB0" w:rsidRDefault="00AD6E03" w:rsidP="00AD6E03">
      <w:pPr>
        <w:pStyle w:val="BodyText1"/>
        <w:rPr>
          <w:rFonts w:asciiTheme="minorHAnsi" w:hAnsiTheme="minorHAnsi" w:cstheme="minorHAnsi"/>
        </w:rPr>
      </w:pPr>
      <w:r w:rsidRPr="00267DB0">
        <w:rPr>
          <w:rFonts w:asciiTheme="minorHAnsi" w:hAnsiTheme="minorHAnsi" w:cstheme="minorHAnsi"/>
        </w:rPr>
        <w:t>We want to know about any special or unique features of your rooms and facility.</w:t>
      </w:r>
    </w:p>
    <w:p w:rsidR="00AD6E03" w:rsidRPr="00267DB0" w:rsidRDefault="00AD6E03" w:rsidP="00AD6E03">
      <w:pPr>
        <w:pStyle w:val="BodyText1"/>
        <w:rPr>
          <w:rFonts w:asciiTheme="minorHAnsi" w:hAnsiTheme="minorHAnsi" w:cstheme="minorHAnsi"/>
        </w:rPr>
      </w:pPr>
      <w:r w:rsidRPr="00267DB0">
        <w:rPr>
          <w:rFonts w:asciiTheme="minorHAnsi" w:hAnsiTheme="minorHAnsi" w:cstheme="minorHAnsi"/>
        </w:rPr>
        <w:t>Remember, we cannot consider how much residents may be able to afford. Rather, it is our role to verify that there is evidence to support that the room has the value that you are proposing.</w:t>
      </w:r>
    </w:p>
    <w:p w:rsidR="00AD6E03" w:rsidRPr="00267DB0" w:rsidRDefault="00AD6E03" w:rsidP="00AD6E03">
      <w:pPr>
        <w:pStyle w:val="BodyText1"/>
        <w:rPr>
          <w:rFonts w:asciiTheme="minorHAnsi" w:hAnsiTheme="minorHAnsi" w:cstheme="minorHAnsi"/>
        </w:rPr>
      </w:pPr>
      <w:r w:rsidRPr="00267DB0">
        <w:rPr>
          <w:rFonts w:asciiTheme="minorHAnsi" w:hAnsiTheme="minorHAnsi" w:cstheme="minorHAnsi"/>
        </w:rPr>
        <w:t>Using the information you provide us, we compare and contrast:</w:t>
      </w:r>
    </w:p>
    <w:p w:rsidR="00AD6E03" w:rsidRPr="00267DB0" w:rsidRDefault="00AD6E03" w:rsidP="00AD6E03">
      <w:pPr>
        <w:pStyle w:val="Bulletlist"/>
        <w:rPr>
          <w:rFonts w:asciiTheme="minorHAnsi" w:hAnsiTheme="minorHAnsi" w:cstheme="minorHAnsi"/>
        </w:rPr>
      </w:pPr>
      <w:r w:rsidRPr="00267DB0">
        <w:rPr>
          <w:rFonts w:asciiTheme="minorHAnsi" w:hAnsiTheme="minorHAnsi" w:cstheme="minorHAnsi"/>
        </w:rPr>
        <w:t>room features;</w:t>
      </w:r>
    </w:p>
    <w:p w:rsidR="00AD6E03" w:rsidRPr="00267DB0" w:rsidRDefault="00AD6E03" w:rsidP="00AD6E03">
      <w:pPr>
        <w:pStyle w:val="Bulletlist"/>
        <w:rPr>
          <w:rFonts w:asciiTheme="minorHAnsi" w:hAnsiTheme="minorHAnsi" w:cstheme="minorHAnsi"/>
        </w:rPr>
      </w:pPr>
      <w:r w:rsidRPr="00267DB0">
        <w:rPr>
          <w:rFonts w:asciiTheme="minorHAnsi" w:hAnsiTheme="minorHAnsi" w:cstheme="minorHAnsi"/>
        </w:rPr>
        <w:t>common area features; and</w:t>
      </w:r>
    </w:p>
    <w:p w:rsidR="00AD6E03" w:rsidRPr="00267DB0" w:rsidRDefault="00AD6E03" w:rsidP="00AD6E03">
      <w:pPr>
        <w:pStyle w:val="Bulletlist"/>
        <w:rPr>
          <w:rFonts w:asciiTheme="minorHAnsi" w:hAnsiTheme="minorHAnsi" w:cstheme="minorHAnsi"/>
        </w:rPr>
      </w:pPr>
      <w:r w:rsidRPr="00267DB0">
        <w:rPr>
          <w:rFonts w:asciiTheme="minorHAnsi" w:hAnsiTheme="minorHAnsi" w:cstheme="minorHAnsi"/>
        </w:rPr>
        <w:t>services provided at no extra cost.</w:t>
      </w:r>
    </w:p>
    <w:p w:rsidR="00BD4396" w:rsidRDefault="00BD4396">
      <w:pPr>
        <w:rPr>
          <w:rFonts w:cstheme="minorHAnsi"/>
          <w:i/>
          <w:iCs/>
          <w:sz w:val="20"/>
          <w:szCs w:val="20"/>
        </w:rPr>
      </w:pPr>
      <w:r>
        <w:rPr>
          <w:rFonts w:cstheme="minorHAnsi"/>
        </w:rPr>
        <w:br w:type="page"/>
      </w:r>
    </w:p>
    <w:p w:rsidR="00AD6E03" w:rsidRPr="00267DB0" w:rsidRDefault="00AD6E03" w:rsidP="00AD6E03">
      <w:pPr>
        <w:pStyle w:val="H4"/>
        <w:rPr>
          <w:rFonts w:asciiTheme="minorHAnsi" w:hAnsiTheme="minorHAnsi" w:cstheme="minorHAnsi"/>
        </w:rPr>
      </w:pPr>
      <w:r w:rsidRPr="00267DB0">
        <w:rPr>
          <w:rFonts w:asciiTheme="minorHAnsi" w:hAnsiTheme="minorHAnsi" w:cstheme="minorHAnsi"/>
        </w:rPr>
        <w:lastRenderedPageBreak/>
        <w:t>Supporting factors that may be considered</w:t>
      </w:r>
    </w:p>
    <w:p w:rsidR="00AD6E03" w:rsidRPr="00267DB0" w:rsidRDefault="00AD6E03" w:rsidP="00AD6E03">
      <w:pPr>
        <w:pStyle w:val="BodyText1"/>
        <w:rPr>
          <w:rFonts w:asciiTheme="minorHAnsi" w:hAnsiTheme="minorHAnsi" w:cstheme="minorHAnsi"/>
        </w:rPr>
      </w:pPr>
      <w:r w:rsidRPr="00267DB0">
        <w:rPr>
          <w:rFonts w:asciiTheme="minorHAnsi" w:hAnsiTheme="minorHAnsi" w:cstheme="minorHAnsi"/>
        </w:rPr>
        <w:t>As we build up the context for your facility, we may also use additional information such as:</w:t>
      </w:r>
    </w:p>
    <w:p w:rsidR="00AD6E03" w:rsidRPr="00267DB0" w:rsidRDefault="00AD6E03" w:rsidP="00AD6E03">
      <w:pPr>
        <w:pStyle w:val="Bulletlist"/>
        <w:rPr>
          <w:rFonts w:asciiTheme="minorHAnsi" w:hAnsiTheme="minorHAnsi" w:cstheme="minorHAnsi"/>
        </w:rPr>
      </w:pPr>
      <w:r w:rsidRPr="00267DB0">
        <w:rPr>
          <w:rFonts w:asciiTheme="minorHAnsi" w:hAnsiTheme="minorHAnsi" w:cstheme="minorHAnsi"/>
        </w:rPr>
        <w:t>RAD history</w:t>
      </w:r>
    </w:p>
    <w:p w:rsidR="00AD6E03" w:rsidRPr="00267DB0" w:rsidRDefault="00AD6E03" w:rsidP="00AD6E03">
      <w:pPr>
        <w:pStyle w:val="Bulletlist"/>
        <w:rPr>
          <w:rFonts w:asciiTheme="minorHAnsi" w:hAnsiTheme="minorHAnsi" w:cstheme="minorHAnsi"/>
        </w:rPr>
      </w:pPr>
      <w:r w:rsidRPr="00267DB0">
        <w:rPr>
          <w:rFonts w:asciiTheme="minorHAnsi" w:hAnsiTheme="minorHAnsi" w:cstheme="minorHAnsi"/>
        </w:rPr>
        <w:t>Cost per room</w:t>
      </w:r>
    </w:p>
    <w:p w:rsidR="00AD6E03" w:rsidRPr="00267DB0" w:rsidRDefault="00AD6E03" w:rsidP="00AD6E03">
      <w:pPr>
        <w:pStyle w:val="Bulletlist"/>
        <w:rPr>
          <w:rFonts w:asciiTheme="minorHAnsi" w:hAnsiTheme="minorHAnsi" w:cstheme="minorHAnsi"/>
        </w:rPr>
      </w:pPr>
      <w:r w:rsidRPr="00267DB0">
        <w:rPr>
          <w:rFonts w:asciiTheme="minorHAnsi" w:hAnsiTheme="minorHAnsi" w:cstheme="minorHAnsi"/>
        </w:rPr>
        <w:t>Occupancy rate</w:t>
      </w:r>
    </w:p>
    <w:p w:rsidR="00AD6E03" w:rsidRPr="00267DB0" w:rsidRDefault="00AD6E03" w:rsidP="00AD6E03">
      <w:pPr>
        <w:pStyle w:val="Bulletlist"/>
        <w:rPr>
          <w:rFonts w:asciiTheme="minorHAnsi" w:hAnsiTheme="minorHAnsi" w:cstheme="minorHAnsi"/>
        </w:rPr>
      </w:pPr>
      <w:r w:rsidRPr="00267DB0">
        <w:rPr>
          <w:rFonts w:asciiTheme="minorHAnsi" w:hAnsiTheme="minorHAnsi" w:cstheme="minorHAnsi"/>
        </w:rPr>
        <w:t>Change in median house price</w:t>
      </w:r>
    </w:p>
    <w:p w:rsidR="00AD6E03" w:rsidRPr="00267DB0" w:rsidRDefault="00AD6E03" w:rsidP="00AD6E03">
      <w:pPr>
        <w:pStyle w:val="Bulletlist"/>
        <w:rPr>
          <w:rFonts w:asciiTheme="minorHAnsi" w:hAnsiTheme="minorHAnsi" w:cstheme="minorHAnsi"/>
        </w:rPr>
      </w:pPr>
      <w:r w:rsidRPr="00267DB0">
        <w:rPr>
          <w:rFonts w:asciiTheme="minorHAnsi" w:hAnsiTheme="minorHAnsi" w:cstheme="minorHAnsi"/>
        </w:rPr>
        <w:t>Business sustainability factors</w:t>
      </w:r>
    </w:p>
    <w:p w:rsidR="00AD6E03" w:rsidRPr="00267DB0" w:rsidRDefault="00AD6E03" w:rsidP="00AD6E03">
      <w:pPr>
        <w:pStyle w:val="Bulletlist"/>
        <w:rPr>
          <w:rFonts w:asciiTheme="minorHAnsi" w:hAnsiTheme="minorHAnsi" w:cstheme="minorHAnsi"/>
        </w:rPr>
      </w:pPr>
      <w:r w:rsidRPr="00267DB0">
        <w:rPr>
          <w:rFonts w:asciiTheme="minorHAnsi" w:hAnsiTheme="minorHAnsi" w:cstheme="minorHAnsi"/>
        </w:rPr>
        <w:t>Your market and competitor analysis</w:t>
      </w:r>
    </w:p>
    <w:p w:rsidR="006C49FD" w:rsidRPr="00267DB0" w:rsidRDefault="00AD6E03" w:rsidP="006C49FD">
      <w:pPr>
        <w:pStyle w:val="BodyText1"/>
        <w:rPr>
          <w:rFonts w:asciiTheme="minorHAnsi" w:hAnsiTheme="minorHAnsi" w:cstheme="minorHAnsi"/>
        </w:rPr>
      </w:pPr>
      <w:r w:rsidRPr="00267DB0">
        <w:rPr>
          <w:rFonts w:asciiTheme="minorHAnsi" w:hAnsiTheme="minorHAnsi" w:cstheme="minorHAnsi"/>
        </w:rPr>
        <w:t>For more information see Aged Care Legislative Instrument ‘Fees and Payments Principles 2014 (No. 2)’.</w:t>
      </w:r>
      <w:r w:rsidRPr="00267DB0">
        <w:rPr>
          <w:rFonts w:asciiTheme="minorHAnsi" w:hAnsiTheme="minorHAnsi" w:cstheme="minorHAnsi"/>
        </w:rPr>
        <w:softHyphen/>
      </w:r>
    </w:p>
    <w:p w:rsidR="00F84058" w:rsidRDefault="00F84058" w:rsidP="00AD6E03">
      <w:pPr>
        <w:pStyle w:val="BodyText1"/>
        <w:rPr>
          <w:rFonts w:asciiTheme="minorHAnsi" w:hAnsiTheme="minorHAnsi" w:cstheme="minorHAnsi"/>
        </w:rPr>
      </w:pPr>
    </w:p>
    <w:p w:rsidR="00AD6E03" w:rsidRPr="00267DB0" w:rsidRDefault="00AD6E03" w:rsidP="00AD6E03">
      <w:pPr>
        <w:pStyle w:val="BodyText1"/>
        <w:rPr>
          <w:rFonts w:asciiTheme="minorHAnsi" w:hAnsiTheme="minorHAnsi" w:cstheme="minorHAnsi"/>
        </w:rPr>
      </w:pPr>
      <w:r w:rsidRPr="00267DB0">
        <w:rPr>
          <w:rFonts w:asciiTheme="minorHAnsi" w:hAnsiTheme="minorHAnsi" w:cstheme="minorHAnsi"/>
        </w:rPr>
        <w:t>Overall, it has been an interesting and challenging year which included facility visits and learning about an industry that is driven by pride and compassion for older Australians. This is an industry I feel proud and fortunate to work in, and hope to make a positive and constructive contribution to Residents, Consumers and Providers in the Aged Care Industry.</w:t>
      </w:r>
    </w:p>
    <w:p w:rsidR="00AD6E03" w:rsidRPr="00267DB0" w:rsidRDefault="00AD6E03" w:rsidP="00D571C0">
      <w:pPr>
        <w:pStyle w:val="H2"/>
        <w:rPr>
          <w:rFonts w:asciiTheme="minorHAnsi" w:hAnsiTheme="minorHAnsi" w:cstheme="minorHAnsi"/>
        </w:rPr>
      </w:pPr>
      <w:r w:rsidRPr="00267DB0">
        <w:rPr>
          <w:rFonts w:asciiTheme="minorHAnsi" w:hAnsiTheme="minorHAnsi" w:cstheme="minorHAnsi"/>
        </w:rPr>
        <w:t xml:space="preserve">Financial Year 2018/19 </w:t>
      </w:r>
    </w:p>
    <w:p w:rsidR="00AD6E03" w:rsidRPr="00267DB0" w:rsidRDefault="00AD6E03" w:rsidP="00AD6E03">
      <w:pPr>
        <w:pStyle w:val="BodyText1"/>
        <w:rPr>
          <w:rFonts w:asciiTheme="minorHAnsi" w:hAnsiTheme="minorHAnsi" w:cstheme="minorHAnsi"/>
          <w:lang w:val="en-GB"/>
        </w:rPr>
      </w:pPr>
      <w:r w:rsidRPr="00267DB0">
        <w:rPr>
          <w:rFonts w:asciiTheme="minorHAnsi" w:hAnsiTheme="minorHAnsi" w:cstheme="minorHAnsi"/>
          <w:lang w:val="en-GB"/>
        </w:rPr>
        <w:t xml:space="preserve">In 2018/19 the Office of the Aged Care Pricing Commissioner received 328 applications, which included 98 Renewals and 230 New Applications. A New Application was where the price increase sought was above indexation changes. The streamlined Renewal Application form was designed to capture price increases based on indexation only. In this financial year 411 applications were approved. The difference between the number of applications received as opposed to actually approved, can be accounted for by the fact that a number of applications were received prior to, but then approved in, 2018/19. </w:t>
      </w:r>
    </w:p>
    <w:p w:rsidR="00AD6E03" w:rsidRPr="00267DB0" w:rsidRDefault="00AD6E03" w:rsidP="00AD6E03">
      <w:pPr>
        <w:pStyle w:val="BodyText1"/>
        <w:rPr>
          <w:rFonts w:asciiTheme="minorHAnsi" w:hAnsiTheme="minorHAnsi" w:cstheme="minorHAnsi"/>
          <w:lang w:val="en-GB"/>
        </w:rPr>
      </w:pPr>
      <w:r w:rsidRPr="00267DB0">
        <w:rPr>
          <w:rFonts w:asciiTheme="minorHAnsi" w:hAnsiTheme="minorHAnsi" w:cstheme="minorHAnsi"/>
          <w:lang w:val="en-GB"/>
        </w:rPr>
        <w:t>In contrast, in 2017/18, 539 applications were received, comprising 220 Renewals and 319 New Applications. 386 applications were approved in the 2017/18 financial year.</w:t>
      </w:r>
    </w:p>
    <w:tbl>
      <w:tblPr>
        <w:tblW w:w="10173" w:type="dxa"/>
        <w:tblInd w:w="-108"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620" w:firstRow="1" w:lastRow="0" w:firstColumn="0" w:lastColumn="0" w:noHBand="1" w:noVBand="1"/>
        <w:tblCaption w:val="Applications and renewals"/>
      </w:tblPr>
      <w:tblGrid>
        <w:gridCol w:w="2034"/>
        <w:gridCol w:w="2035"/>
        <w:gridCol w:w="2034"/>
        <w:gridCol w:w="2035"/>
        <w:gridCol w:w="2035"/>
      </w:tblGrid>
      <w:tr w:rsidR="00D82E0F" w:rsidRPr="00267DB0" w:rsidTr="00D82E0F">
        <w:trPr>
          <w:trHeight w:val="118"/>
        </w:trPr>
        <w:tc>
          <w:tcPr>
            <w:tcW w:w="2034" w:type="dxa"/>
            <w:shd w:val="clear" w:color="auto" w:fill="0097AB"/>
          </w:tcPr>
          <w:p w:rsidR="00AD6E03" w:rsidRPr="00BD4396" w:rsidRDefault="00AD6E03" w:rsidP="00BD4396">
            <w:pPr>
              <w:pStyle w:val="Tabletext"/>
              <w:rPr>
                <w:b/>
                <w:bCs/>
                <w:color w:val="FFFFFF" w:themeColor="background1"/>
                <w:lang w:val="en-GB"/>
              </w:rPr>
            </w:pPr>
            <w:r w:rsidRPr="00BD4396">
              <w:rPr>
                <w:b/>
                <w:bCs/>
                <w:color w:val="FFFFFF" w:themeColor="background1"/>
                <w:lang w:val="en-GB"/>
              </w:rPr>
              <w:t xml:space="preserve">Applications </w:t>
            </w:r>
          </w:p>
        </w:tc>
        <w:tc>
          <w:tcPr>
            <w:tcW w:w="2035" w:type="dxa"/>
            <w:shd w:val="clear" w:color="auto" w:fill="0097AB"/>
          </w:tcPr>
          <w:p w:rsidR="00AD6E03" w:rsidRPr="00BD4396" w:rsidRDefault="00AD6E03" w:rsidP="00BD4396">
            <w:pPr>
              <w:pStyle w:val="Tabletext"/>
              <w:jc w:val="center"/>
              <w:rPr>
                <w:b/>
                <w:bCs/>
                <w:color w:val="FFFFFF" w:themeColor="background1"/>
                <w:lang w:val="en-GB"/>
              </w:rPr>
            </w:pPr>
            <w:r w:rsidRPr="00BD4396">
              <w:rPr>
                <w:b/>
                <w:bCs/>
                <w:color w:val="FFFFFF" w:themeColor="background1"/>
                <w:lang w:val="en-GB"/>
              </w:rPr>
              <w:t>New</w:t>
            </w:r>
          </w:p>
        </w:tc>
        <w:tc>
          <w:tcPr>
            <w:tcW w:w="2034" w:type="dxa"/>
            <w:shd w:val="clear" w:color="auto" w:fill="0097AB"/>
          </w:tcPr>
          <w:p w:rsidR="00AD6E03" w:rsidRPr="00BD4396" w:rsidRDefault="00AD6E03" w:rsidP="00BD4396">
            <w:pPr>
              <w:pStyle w:val="Tabletext"/>
              <w:jc w:val="center"/>
              <w:rPr>
                <w:b/>
                <w:bCs/>
                <w:color w:val="FFFFFF" w:themeColor="background1"/>
                <w:lang w:val="en-GB"/>
              </w:rPr>
            </w:pPr>
            <w:r w:rsidRPr="00BD4396">
              <w:rPr>
                <w:b/>
                <w:bCs/>
                <w:color w:val="FFFFFF" w:themeColor="background1"/>
                <w:lang w:val="en-GB"/>
              </w:rPr>
              <w:t>Renewal</w:t>
            </w:r>
          </w:p>
        </w:tc>
        <w:tc>
          <w:tcPr>
            <w:tcW w:w="2035" w:type="dxa"/>
            <w:shd w:val="clear" w:color="auto" w:fill="0097AB"/>
          </w:tcPr>
          <w:p w:rsidR="00AD6E03" w:rsidRPr="00BD4396" w:rsidRDefault="00AD6E03" w:rsidP="00BD4396">
            <w:pPr>
              <w:pStyle w:val="Tabletext"/>
              <w:jc w:val="center"/>
              <w:rPr>
                <w:b/>
                <w:bCs/>
                <w:color w:val="FFFFFF" w:themeColor="background1"/>
                <w:lang w:val="en-GB"/>
              </w:rPr>
            </w:pPr>
            <w:r w:rsidRPr="00BD4396">
              <w:rPr>
                <w:b/>
                <w:bCs/>
                <w:color w:val="FFFFFF" w:themeColor="background1"/>
                <w:lang w:val="en-GB"/>
              </w:rPr>
              <w:t>Received</w:t>
            </w:r>
          </w:p>
        </w:tc>
        <w:tc>
          <w:tcPr>
            <w:tcW w:w="2035" w:type="dxa"/>
            <w:shd w:val="clear" w:color="auto" w:fill="0097AB"/>
          </w:tcPr>
          <w:p w:rsidR="00AD6E03" w:rsidRPr="00BD4396" w:rsidRDefault="00AD6E03" w:rsidP="00BD4396">
            <w:pPr>
              <w:pStyle w:val="Tabletext"/>
              <w:jc w:val="center"/>
              <w:rPr>
                <w:b/>
                <w:bCs/>
                <w:color w:val="FFFFFF" w:themeColor="background1"/>
                <w:lang w:val="en-GB"/>
              </w:rPr>
            </w:pPr>
            <w:r w:rsidRPr="00BD4396">
              <w:rPr>
                <w:b/>
                <w:bCs/>
                <w:color w:val="FFFFFF" w:themeColor="background1"/>
                <w:lang w:val="en-GB"/>
              </w:rPr>
              <w:t>Approved</w:t>
            </w:r>
          </w:p>
        </w:tc>
      </w:tr>
      <w:tr w:rsidR="00AD6E03" w:rsidRPr="00267DB0" w:rsidTr="00D571C0">
        <w:trPr>
          <w:trHeight w:val="108"/>
        </w:trPr>
        <w:tc>
          <w:tcPr>
            <w:tcW w:w="2034" w:type="dxa"/>
          </w:tcPr>
          <w:p w:rsidR="00AD6E03" w:rsidRPr="00267DB0" w:rsidRDefault="00AD6E03" w:rsidP="00BD4396">
            <w:pPr>
              <w:pStyle w:val="Tabletext"/>
              <w:rPr>
                <w:color w:val="403F41"/>
                <w:sz w:val="18"/>
                <w:szCs w:val="18"/>
                <w:lang w:val="en-GB"/>
              </w:rPr>
            </w:pPr>
            <w:r w:rsidRPr="00267DB0">
              <w:rPr>
                <w:color w:val="403F41"/>
                <w:sz w:val="18"/>
                <w:szCs w:val="18"/>
                <w:lang w:val="en-GB"/>
              </w:rPr>
              <w:t xml:space="preserve">2017-2018 </w:t>
            </w:r>
          </w:p>
        </w:tc>
        <w:tc>
          <w:tcPr>
            <w:tcW w:w="2035" w:type="dxa"/>
          </w:tcPr>
          <w:p w:rsidR="00AD6E03" w:rsidRPr="00267DB0" w:rsidRDefault="00AD6E03" w:rsidP="00BD4396">
            <w:pPr>
              <w:pStyle w:val="Tabletext"/>
              <w:jc w:val="center"/>
              <w:rPr>
                <w:color w:val="403F41"/>
                <w:sz w:val="18"/>
                <w:szCs w:val="18"/>
                <w:lang w:val="en-GB"/>
              </w:rPr>
            </w:pPr>
            <w:r w:rsidRPr="00267DB0">
              <w:rPr>
                <w:color w:val="403F41"/>
                <w:sz w:val="18"/>
                <w:szCs w:val="18"/>
                <w:lang w:val="en-GB"/>
              </w:rPr>
              <w:t>319</w:t>
            </w:r>
          </w:p>
        </w:tc>
        <w:tc>
          <w:tcPr>
            <w:tcW w:w="2034" w:type="dxa"/>
          </w:tcPr>
          <w:p w:rsidR="00AD6E03" w:rsidRPr="00267DB0" w:rsidRDefault="00AD6E03" w:rsidP="00BD4396">
            <w:pPr>
              <w:pStyle w:val="Tabletext"/>
              <w:jc w:val="center"/>
              <w:rPr>
                <w:color w:val="403F41"/>
                <w:sz w:val="18"/>
                <w:szCs w:val="18"/>
                <w:lang w:val="en-GB"/>
              </w:rPr>
            </w:pPr>
            <w:r w:rsidRPr="00267DB0">
              <w:rPr>
                <w:color w:val="403F41"/>
                <w:sz w:val="18"/>
                <w:szCs w:val="18"/>
                <w:lang w:val="en-GB"/>
              </w:rPr>
              <w:t>220</w:t>
            </w:r>
          </w:p>
        </w:tc>
        <w:tc>
          <w:tcPr>
            <w:tcW w:w="2035" w:type="dxa"/>
          </w:tcPr>
          <w:p w:rsidR="00AD6E03" w:rsidRPr="00267DB0" w:rsidRDefault="00AD6E03" w:rsidP="00BD4396">
            <w:pPr>
              <w:pStyle w:val="Tabletext"/>
              <w:jc w:val="center"/>
              <w:rPr>
                <w:color w:val="403F41"/>
                <w:sz w:val="18"/>
                <w:szCs w:val="18"/>
                <w:lang w:val="en-GB"/>
              </w:rPr>
            </w:pPr>
            <w:r w:rsidRPr="00267DB0">
              <w:rPr>
                <w:color w:val="403F41"/>
                <w:sz w:val="18"/>
                <w:szCs w:val="18"/>
                <w:lang w:val="en-GB"/>
              </w:rPr>
              <w:t>539</w:t>
            </w:r>
          </w:p>
        </w:tc>
        <w:tc>
          <w:tcPr>
            <w:tcW w:w="2035" w:type="dxa"/>
          </w:tcPr>
          <w:p w:rsidR="00AD6E03" w:rsidRPr="00267DB0" w:rsidRDefault="00AD6E03" w:rsidP="00BD4396">
            <w:pPr>
              <w:pStyle w:val="Tabletext"/>
              <w:jc w:val="center"/>
              <w:rPr>
                <w:color w:val="403F41"/>
                <w:sz w:val="18"/>
                <w:szCs w:val="18"/>
                <w:lang w:val="en-GB"/>
              </w:rPr>
            </w:pPr>
            <w:r w:rsidRPr="00267DB0">
              <w:rPr>
                <w:color w:val="403F41"/>
                <w:sz w:val="18"/>
                <w:szCs w:val="18"/>
                <w:lang w:val="en-GB"/>
              </w:rPr>
              <w:t>386</w:t>
            </w:r>
          </w:p>
        </w:tc>
      </w:tr>
      <w:tr w:rsidR="00AD6E03" w:rsidRPr="00267DB0" w:rsidTr="00D571C0">
        <w:trPr>
          <w:trHeight w:val="108"/>
        </w:trPr>
        <w:tc>
          <w:tcPr>
            <w:tcW w:w="2034" w:type="dxa"/>
          </w:tcPr>
          <w:p w:rsidR="00AD6E03" w:rsidRPr="00267DB0" w:rsidRDefault="00AD6E03" w:rsidP="00BD4396">
            <w:pPr>
              <w:pStyle w:val="Tabletext"/>
              <w:rPr>
                <w:color w:val="403F41"/>
                <w:sz w:val="18"/>
                <w:szCs w:val="18"/>
                <w:lang w:val="en-GB"/>
              </w:rPr>
            </w:pPr>
            <w:r w:rsidRPr="00267DB0">
              <w:rPr>
                <w:color w:val="403F41"/>
                <w:sz w:val="18"/>
                <w:szCs w:val="18"/>
                <w:lang w:val="en-GB"/>
              </w:rPr>
              <w:t xml:space="preserve">2018-2019 </w:t>
            </w:r>
          </w:p>
        </w:tc>
        <w:tc>
          <w:tcPr>
            <w:tcW w:w="2035" w:type="dxa"/>
          </w:tcPr>
          <w:p w:rsidR="00AD6E03" w:rsidRPr="00267DB0" w:rsidRDefault="00AD6E03" w:rsidP="00BD4396">
            <w:pPr>
              <w:pStyle w:val="Tabletext"/>
              <w:jc w:val="center"/>
              <w:rPr>
                <w:color w:val="403F41"/>
                <w:sz w:val="18"/>
                <w:szCs w:val="18"/>
                <w:lang w:val="en-GB"/>
              </w:rPr>
            </w:pPr>
            <w:r w:rsidRPr="00267DB0">
              <w:rPr>
                <w:color w:val="403F41"/>
                <w:sz w:val="18"/>
                <w:szCs w:val="18"/>
                <w:lang w:val="en-GB"/>
              </w:rPr>
              <w:t>230</w:t>
            </w:r>
          </w:p>
        </w:tc>
        <w:tc>
          <w:tcPr>
            <w:tcW w:w="2034" w:type="dxa"/>
          </w:tcPr>
          <w:p w:rsidR="00AD6E03" w:rsidRPr="00267DB0" w:rsidRDefault="00AD6E03" w:rsidP="00BD4396">
            <w:pPr>
              <w:pStyle w:val="Tabletext"/>
              <w:jc w:val="center"/>
              <w:rPr>
                <w:color w:val="403F41"/>
                <w:sz w:val="18"/>
                <w:szCs w:val="18"/>
                <w:lang w:val="en-GB"/>
              </w:rPr>
            </w:pPr>
            <w:r w:rsidRPr="00267DB0">
              <w:rPr>
                <w:color w:val="403F41"/>
                <w:sz w:val="18"/>
                <w:szCs w:val="18"/>
                <w:lang w:val="en-GB"/>
              </w:rPr>
              <w:t>98</w:t>
            </w:r>
          </w:p>
        </w:tc>
        <w:tc>
          <w:tcPr>
            <w:tcW w:w="2035" w:type="dxa"/>
          </w:tcPr>
          <w:p w:rsidR="00AD6E03" w:rsidRPr="00267DB0" w:rsidRDefault="00AD6E03" w:rsidP="00BD4396">
            <w:pPr>
              <w:pStyle w:val="Tabletext"/>
              <w:jc w:val="center"/>
              <w:rPr>
                <w:color w:val="403F41"/>
                <w:sz w:val="18"/>
                <w:szCs w:val="18"/>
                <w:lang w:val="en-GB"/>
              </w:rPr>
            </w:pPr>
            <w:r w:rsidRPr="00267DB0">
              <w:rPr>
                <w:color w:val="403F41"/>
                <w:sz w:val="18"/>
                <w:szCs w:val="18"/>
                <w:lang w:val="en-GB"/>
              </w:rPr>
              <w:t>328</w:t>
            </w:r>
          </w:p>
        </w:tc>
        <w:tc>
          <w:tcPr>
            <w:tcW w:w="2035" w:type="dxa"/>
          </w:tcPr>
          <w:p w:rsidR="00AD6E03" w:rsidRPr="00267DB0" w:rsidRDefault="00AD6E03" w:rsidP="00BD4396">
            <w:pPr>
              <w:pStyle w:val="Tabletext"/>
              <w:jc w:val="center"/>
              <w:rPr>
                <w:color w:val="403F41"/>
                <w:sz w:val="18"/>
                <w:szCs w:val="18"/>
                <w:lang w:val="en-GB"/>
              </w:rPr>
            </w:pPr>
            <w:r w:rsidRPr="00267DB0">
              <w:rPr>
                <w:color w:val="403F41"/>
                <w:sz w:val="18"/>
                <w:szCs w:val="18"/>
                <w:lang w:val="en-GB"/>
              </w:rPr>
              <w:t>411</w:t>
            </w:r>
          </w:p>
        </w:tc>
      </w:tr>
    </w:tbl>
    <w:p w:rsidR="00AD6E03" w:rsidRPr="00267DB0" w:rsidRDefault="00AD6E03" w:rsidP="00D571C0">
      <w:pPr>
        <w:pStyle w:val="H3"/>
        <w:rPr>
          <w:rFonts w:asciiTheme="minorHAnsi" w:hAnsiTheme="minorHAnsi" w:cstheme="minorHAnsi"/>
        </w:rPr>
      </w:pPr>
      <w:r w:rsidRPr="00267DB0">
        <w:rPr>
          <w:rFonts w:asciiTheme="minorHAnsi" w:hAnsiTheme="minorHAnsi" w:cstheme="minorHAnsi"/>
        </w:rPr>
        <w:t xml:space="preserve">Aged Care Providers </w:t>
      </w:r>
    </w:p>
    <w:p w:rsidR="00AD6E03" w:rsidRPr="00267DB0" w:rsidRDefault="00AD6E03" w:rsidP="00D571C0">
      <w:pPr>
        <w:pStyle w:val="BodyText1"/>
        <w:rPr>
          <w:rFonts w:asciiTheme="minorHAnsi" w:hAnsiTheme="minorHAnsi" w:cstheme="minorHAnsi"/>
        </w:rPr>
      </w:pPr>
      <w:r w:rsidRPr="00267DB0">
        <w:rPr>
          <w:rFonts w:asciiTheme="minorHAnsi" w:hAnsiTheme="minorHAnsi" w:cstheme="minorHAnsi"/>
        </w:rPr>
        <w:t>As at 30 June 2018, nationally there were 886 Residential Aged Care Providers (RACP). This contrasts nationally with 902 RACP as at 30 June 2017. If we break down the number of applications further, the number of RACP applying to the Aged Care Pricing Commissioner in 2018/19 was 84, whereas in 2017/18 the number of RACP applying was 104.</w:t>
      </w:r>
    </w:p>
    <w:tbl>
      <w:tblPr>
        <w:tblW w:w="10173" w:type="dxa"/>
        <w:tblInd w:w="-108"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600" w:firstRow="0" w:lastRow="0" w:firstColumn="0" w:lastColumn="0" w:noHBand="1" w:noVBand="1"/>
        <w:tblCaption w:val="Aged Care Providers "/>
      </w:tblPr>
      <w:tblGrid>
        <w:gridCol w:w="1695"/>
        <w:gridCol w:w="1696"/>
        <w:gridCol w:w="1695"/>
        <w:gridCol w:w="1696"/>
        <w:gridCol w:w="1695"/>
        <w:gridCol w:w="1696"/>
      </w:tblGrid>
      <w:tr w:rsidR="00D82E0F" w:rsidRPr="00267DB0" w:rsidTr="00D82E0F">
        <w:trPr>
          <w:trHeight w:val="248"/>
        </w:trPr>
        <w:tc>
          <w:tcPr>
            <w:tcW w:w="1695" w:type="dxa"/>
            <w:shd w:val="clear" w:color="auto" w:fill="0097AB"/>
          </w:tcPr>
          <w:p w:rsidR="00AD6E03" w:rsidRPr="00BD4396" w:rsidRDefault="00AD6E03" w:rsidP="00BD4396">
            <w:pPr>
              <w:pStyle w:val="Tabletext"/>
              <w:rPr>
                <w:b/>
                <w:bCs/>
                <w:color w:val="FFFFFF" w:themeColor="background1"/>
                <w:lang w:val="en-GB"/>
              </w:rPr>
            </w:pPr>
            <w:r w:rsidRPr="00BD4396">
              <w:rPr>
                <w:b/>
                <w:bCs/>
                <w:color w:val="FFFFFF" w:themeColor="background1"/>
                <w:lang w:val="en-GB"/>
              </w:rPr>
              <w:t xml:space="preserve">Year </w:t>
            </w:r>
          </w:p>
        </w:tc>
        <w:tc>
          <w:tcPr>
            <w:tcW w:w="1696" w:type="dxa"/>
            <w:shd w:val="clear" w:color="auto" w:fill="0097AB"/>
          </w:tcPr>
          <w:p w:rsidR="00AD6E03" w:rsidRPr="00BD4396" w:rsidRDefault="00AD6E03" w:rsidP="00BD4396">
            <w:pPr>
              <w:pStyle w:val="Tabletext"/>
              <w:jc w:val="center"/>
              <w:rPr>
                <w:b/>
                <w:bCs/>
                <w:color w:val="FFFFFF" w:themeColor="background1"/>
                <w:lang w:val="en-GB"/>
              </w:rPr>
            </w:pPr>
            <w:r w:rsidRPr="00BD4396">
              <w:rPr>
                <w:b/>
                <w:bCs/>
                <w:color w:val="FFFFFF" w:themeColor="background1"/>
                <w:lang w:val="en-GB"/>
              </w:rPr>
              <w:t>Applying</w:t>
            </w:r>
          </w:p>
        </w:tc>
        <w:tc>
          <w:tcPr>
            <w:tcW w:w="1695" w:type="dxa"/>
            <w:shd w:val="clear" w:color="auto" w:fill="0097AB"/>
          </w:tcPr>
          <w:p w:rsidR="00AD6E03" w:rsidRPr="00BD4396" w:rsidRDefault="00AD6E03" w:rsidP="00BD4396">
            <w:pPr>
              <w:pStyle w:val="Tabletext"/>
              <w:jc w:val="center"/>
              <w:rPr>
                <w:b/>
                <w:bCs/>
                <w:color w:val="FFFFFF" w:themeColor="background1"/>
                <w:lang w:val="en-GB"/>
              </w:rPr>
            </w:pPr>
            <w:r w:rsidRPr="00BD4396">
              <w:rPr>
                <w:b/>
                <w:bCs/>
                <w:color w:val="FFFFFF" w:themeColor="background1"/>
                <w:lang w:val="en-GB"/>
              </w:rPr>
              <w:t>Approved</w:t>
            </w:r>
          </w:p>
        </w:tc>
        <w:tc>
          <w:tcPr>
            <w:tcW w:w="1696" w:type="dxa"/>
            <w:shd w:val="clear" w:color="auto" w:fill="0097AB"/>
          </w:tcPr>
          <w:p w:rsidR="00AD6E03" w:rsidRPr="00BD4396" w:rsidRDefault="00AD6E03" w:rsidP="00BD4396">
            <w:pPr>
              <w:pStyle w:val="Tabletext"/>
              <w:jc w:val="center"/>
              <w:rPr>
                <w:b/>
                <w:bCs/>
                <w:color w:val="FFFFFF" w:themeColor="background1"/>
                <w:lang w:val="en-GB"/>
              </w:rPr>
            </w:pPr>
            <w:r w:rsidRPr="00BD4396">
              <w:rPr>
                <w:b/>
                <w:bCs/>
                <w:color w:val="FFFFFF" w:themeColor="background1"/>
                <w:lang w:val="en-GB"/>
              </w:rPr>
              <w:t>Sector</w:t>
            </w:r>
          </w:p>
        </w:tc>
        <w:tc>
          <w:tcPr>
            <w:tcW w:w="1695" w:type="dxa"/>
            <w:shd w:val="clear" w:color="auto" w:fill="0097AB"/>
          </w:tcPr>
          <w:p w:rsidR="00AD6E03" w:rsidRPr="00BD4396" w:rsidRDefault="00AD6E03" w:rsidP="00BD4396">
            <w:pPr>
              <w:pStyle w:val="Tabletext"/>
              <w:jc w:val="center"/>
              <w:rPr>
                <w:b/>
                <w:bCs/>
                <w:color w:val="FFFFFF" w:themeColor="background1"/>
                <w:lang w:val="en-GB"/>
              </w:rPr>
            </w:pPr>
            <w:r w:rsidRPr="00BD4396">
              <w:rPr>
                <w:b/>
                <w:bCs/>
                <w:color w:val="FFFFFF" w:themeColor="background1"/>
                <w:lang w:val="en-GB"/>
              </w:rPr>
              <w:t>Sector % Approved YTD</w:t>
            </w:r>
          </w:p>
        </w:tc>
        <w:tc>
          <w:tcPr>
            <w:tcW w:w="1696" w:type="dxa"/>
            <w:shd w:val="clear" w:color="auto" w:fill="0097AB"/>
          </w:tcPr>
          <w:p w:rsidR="00AD6E03" w:rsidRPr="00BD4396" w:rsidRDefault="00AD6E03" w:rsidP="00BD4396">
            <w:pPr>
              <w:pStyle w:val="Tabletext"/>
              <w:jc w:val="center"/>
              <w:rPr>
                <w:b/>
                <w:bCs/>
                <w:color w:val="FFFFFF" w:themeColor="background1"/>
                <w:lang w:val="en-GB"/>
              </w:rPr>
            </w:pPr>
            <w:r w:rsidRPr="00BD4396">
              <w:rPr>
                <w:b/>
                <w:bCs/>
                <w:color w:val="FFFFFF" w:themeColor="background1"/>
                <w:lang w:val="en-GB"/>
              </w:rPr>
              <w:t>Sector % Approved Since June 2014</w:t>
            </w:r>
          </w:p>
        </w:tc>
      </w:tr>
      <w:tr w:rsidR="00AD6E03" w:rsidRPr="00267DB0" w:rsidTr="00267DB0">
        <w:trPr>
          <w:trHeight w:val="108"/>
        </w:trPr>
        <w:tc>
          <w:tcPr>
            <w:tcW w:w="1695" w:type="dxa"/>
          </w:tcPr>
          <w:p w:rsidR="00AD6E03" w:rsidRPr="00267DB0" w:rsidRDefault="00AD6E03" w:rsidP="00BD4396">
            <w:pPr>
              <w:pStyle w:val="Tabletext"/>
              <w:rPr>
                <w:color w:val="403F41"/>
                <w:sz w:val="18"/>
                <w:szCs w:val="18"/>
                <w:lang w:val="en-GB"/>
              </w:rPr>
            </w:pPr>
            <w:r w:rsidRPr="00267DB0">
              <w:rPr>
                <w:color w:val="403F41"/>
                <w:sz w:val="18"/>
                <w:szCs w:val="18"/>
                <w:lang w:val="en-GB"/>
              </w:rPr>
              <w:t xml:space="preserve">2017-2018 </w:t>
            </w:r>
          </w:p>
        </w:tc>
        <w:tc>
          <w:tcPr>
            <w:tcW w:w="1696" w:type="dxa"/>
          </w:tcPr>
          <w:p w:rsidR="00AD6E03" w:rsidRPr="00267DB0" w:rsidRDefault="00AD6E03" w:rsidP="00BD4396">
            <w:pPr>
              <w:pStyle w:val="Tabletext"/>
              <w:jc w:val="center"/>
              <w:rPr>
                <w:color w:val="403F41"/>
                <w:sz w:val="18"/>
                <w:szCs w:val="18"/>
                <w:lang w:val="en-GB"/>
              </w:rPr>
            </w:pPr>
            <w:r w:rsidRPr="00267DB0">
              <w:rPr>
                <w:color w:val="403F41"/>
                <w:sz w:val="18"/>
                <w:szCs w:val="18"/>
                <w:lang w:val="en-GB"/>
              </w:rPr>
              <w:t>104</w:t>
            </w:r>
          </w:p>
        </w:tc>
        <w:tc>
          <w:tcPr>
            <w:tcW w:w="1695" w:type="dxa"/>
          </w:tcPr>
          <w:p w:rsidR="00AD6E03" w:rsidRPr="00267DB0" w:rsidRDefault="00AD6E03" w:rsidP="00BD4396">
            <w:pPr>
              <w:pStyle w:val="Tabletext"/>
              <w:jc w:val="center"/>
              <w:rPr>
                <w:color w:val="403F41"/>
                <w:sz w:val="18"/>
                <w:szCs w:val="18"/>
                <w:lang w:val="en-GB"/>
              </w:rPr>
            </w:pPr>
            <w:r w:rsidRPr="00267DB0">
              <w:rPr>
                <w:color w:val="403F41"/>
                <w:sz w:val="18"/>
                <w:szCs w:val="18"/>
                <w:lang w:val="en-GB"/>
              </w:rPr>
              <w:t>90</w:t>
            </w:r>
          </w:p>
        </w:tc>
        <w:tc>
          <w:tcPr>
            <w:tcW w:w="1696" w:type="dxa"/>
          </w:tcPr>
          <w:p w:rsidR="00AD6E03" w:rsidRPr="00267DB0" w:rsidRDefault="00AD6E03" w:rsidP="00BD4396">
            <w:pPr>
              <w:pStyle w:val="Tabletext"/>
              <w:jc w:val="center"/>
              <w:rPr>
                <w:color w:val="403F41"/>
                <w:sz w:val="18"/>
                <w:szCs w:val="18"/>
                <w:lang w:val="en-GB"/>
              </w:rPr>
            </w:pPr>
            <w:r w:rsidRPr="00267DB0">
              <w:rPr>
                <w:color w:val="403F41"/>
                <w:sz w:val="18"/>
                <w:szCs w:val="18"/>
                <w:lang w:val="en-GB"/>
              </w:rPr>
              <w:t>902</w:t>
            </w:r>
          </w:p>
        </w:tc>
        <w:tc>
          <w:tcPr>
            <w:tcW w:w="1695" w:type="dxa"/>
          </w:tcPr>
          <w:p w:rsidR="00AD6E03" w:rsidRPr="00267DB0" w:rsidRDefault="00AD6E03" w:rsidP="00BD4396">
            <w:pPr>
              <w:pStyle w:val="Tabletext"/>
              <w:jc w:val="center"/>
              <w:rPr>
                <w:color w:val="403F41"/>
                <w:sz w:val="18"/>
                <w:szCs w:val="18"/>
                <w:lang w:val="en-GB"/>
              </w:rPr>
            </w:pPr>
            <w:r w:rsidRPr="00267DB0">
              <w:rPr>
                <w:color w:val="403F41"/>
                <w:sz w:val="18"/>
                <w:szCs w:val="18"/>
                <w:lang w:val="en-GB"/>
              </w:rPr>
              <w:t>9.98%</w:t>
            </w:r>
          </w:p>
        </w:tc>
        <w:tc>
          <w:tcPr>
            <w:tcW w:w="1696" w:type="dxa"/>
          </w:tcPr>
          <w:p w:rsidR="00AD6E03" w:rsidRPr="00267DB0" w:rsidRDefault="00AD6E03" w:rsidP="00BD4396">
            <w:pPr>
              <w:pStyle w:val="Tabletext"/>
              <w:jc w:val="center"/>
              <w:rPr>
                <w:color w:val="403F41"/>
                <w:sz w:val="18"/>
                <w:szCs w:val="18"/>
                <w:lang w:val="en-GB"/>
              </w:rPr>
            </w:pPr>
            <w:r w:rsidRPr="00267DB0">
              <w:rPr>
                <w:color w:val="403F41"/>
                <w:sz w:val="18"/>
                <w:szCs w:val="18"/>
                <w:lang w:val="en-GB"/>
              </w:rPr>
              <w:t>18.40%</w:t>
            </w:r>
          </w:p>
        </w:tc>
      </w:tr>
      <w:tr w:rsidR="00AD6E03" w:rsidRPr="00267DB0" w:rsidTr="00267DB0">
        <w:trPr>
          <w:trHeight w:val="108"/>
        </w:trPr>
        <w:tc>
          <w:tcPr>
            <w:tcW w:w="1695" w:type="dxa"/>
          </w:tcPr>
          <w:p w:rsidR="00AD6E03" w:rsidRPr="00267DB0" w:rsidRDefault="00AD6E03" w:rsidP="00BD4396">
            <w:pPr>
              <w:pStyle w:val="Tabletext"/>
              <w:rPr>
                <w:color w:val="403F41"/>
                <w:sz w:val="18"/>
                <w:szCs w:val="18"/>
                <w:lang w:val="en-GB"/>
              </w:rPr>
            </w:pPr>
            <w:r w:rsidRPr="00267DB0">
              <w:rPr>
                <w:color w:val="403F41"/>
                <w:sz w:val="18"/>
                <w:szCs w:val="18"/>
                <w:lang w:val="en-GB"/>
              </w:rPr>
              <w:t xml:space="preserve">2018-2019 </w:t>
            </w:r>
          </w:p>
        </w:tc>
        <w:tc>
          <w:tcPr>
            <w:tcW w:w="1696" w:type="dxa"/>
          </w:tcPr>
          <w:p w:rsidR="00AD6E03" w:rsidRPr="00267DB0" w:rsidRDefault="00AD6E03" w:rsidP="00BD4396">
            <w:pPr>
              <w:pStyle w:val="Tabletext"/>
              <w:jc w:val="center"/>
              <w:rPr>
                <w:color w:val="403F41"/>
                <w:sz w:val="18"/>
                <w:szCs w:val="18"/>
                <w:lang w:val="en-GB"/>
              </w:rPr>
            </w:pPr>
            <w:r w:rsidRPr="00267DB0">
              <w:rPr>
                <w:color w:val="403F41"/>
                <w:sz w:val="18"/>
                <w:szCs w:val="18"/>
                <w:lang w:val="en-GB"/>
              </w:rPr>
              <w:t>84</w:t>
            </w:r>
          </w:p>
        </w:tc>
        <w:tc>
          <w:tcPr>
            <w:tcW w:w="1695" w:type="dxa"/>
          </w:tcPr>
          <w:p w:rsidR="00AD6E03" w:rsidRPr="00267DB0" w:rsidRDefault="00AD6E03" w:rsidP="00BD4396">
            <w:pPr>
              <w:pStyle w:val="Tabletext"/>
              <w:jc w:val="center"/>
              <w:rPr>
                <w:color w:val="403F41"/>
                <w:sz w:val="18"/>
                <w:szCs w:val="18"/>
                <w:lang w:val="en-GB"/>
              </w:rPr>
            </w:pPr>
            <w:r w:rsidRPr="00267DB0">
              <w:rPr>
                <w:color w:val="403F41"/>
                <w:sz w:val="18"/>
                <w:szCs w:val="18"/>
                <w:lang w:val="en-GB"/>
              </w:rPr>
              <w:t>80</w:t>
            </w:r>
          </w:p>
        </w:tc>
        <w:tc>
          <w:tcPr>
            <w:tcW w:w="1696" w:type="dxa"/>
          </w:tcPr>
          <w:p w:rsidR="00AD6E03" w:rsidRPr="00267DB0" w:rsidRDefault="00AD6E03" w:rsidP="00BD4396">
            <w:pPr>
              <w:pStyle w:val="Tabletext"/>
              <w:jc w:val="center"/>
              <w:rPr>
                <w:color w:val="403F41"/>
                <w:sz w:val="18"/>
                <w:szCs w:val="18"/>
                <w:lang w:val="en-GB"/>
              </w:rPr>
            </w:pPr>
            <w:r w:rsidRPr="00267DB0">
              <w:rPr>
                <w:color w:val="403F41"/>
                <w:sz w:val="18"/>
                <w:szCs w:val="18"/>
                <w:lang w:val="en-GB"/>
              </w:rPr>
              <w:t>886</w:t>
            </w:r>
          </w:p>
        </w:tc>
        <w:tc>
          <w:tcPr>
            <w:tcW w:w="1695" w:type="dxa"/>
          </w:tcPr>
          <w:p w:rsidR="00AD6E03" w:rsidRPr="00267DB0" w:rsidRDefault="00AD6E03" w:rsidP="00BD4396">
            <w:pPr>
              <w:pStyle w:val="Tabletext"/>
              <w:jc w:val="center"/>
              <w:rPr>
                <w:color w:val="403F41"/>
                <w:sz w:val="18"/>
                <w:szCs w:val="18"/>
                <w:lang w:val="en-GB"/>
              </w:rPr>
            </w:pPr>
            <w:r w:rsidRPr="00267DB0">
              <w:rPr>
                <w:color w:val="403F41"/>
                <w:sz w:val="18"/>
                <w:szCs w:val="18"/>
                <w:lang w:val="en-GB"/>
              </w:rPr>
              <w:t>9.03%</w:t>
            </w:r>
          </w:p>
        </w:tc>
        <w:tc>
          <w:tcPr>
            <w:tcW w:w="1696" w:type="dxa"/>
          </w:tcPr>
          <w:p w:rsidR="00AD6E03" w:rsidRPr="00267DB0" w:rsidRDefault="00AD6E03" w:rsidP="00BD4396">
            <w:pPr>
              <w:pStyle w:val="Tabletext"/>
              <w:jc w:val="center"/>
              <w:rPr>
                <w:color w:val="403F41"/>
                <w:sz w:val="18"/>
                <w:szCs w:val="18"/>
                <w:lang w:val="en-GB"/>
              </w:rPr>
            </w:pPr>
            <w:r w:rsidRPr="00267DB0">
              <w:rPr>
                <w:color w:val="403F41"/>
                <w:sz w:val="18"/>
                <w:szCs w:val="18"/>
                <w:lang w:val="en-GB"/>
              </w:rPr>
              <w:t>21.56%</w:t>
            </w:r>
          </w:p>
        </w:tc>
      </w:tr>
    </w:tbl>
    <w:p w:rsidR="00D571C0" w:rsidRPr="00267DB0" w:rsidRDefault="00D571C0" w:rsidP="00D571C0">
      <w:pPr>
        <w:pStyle w:val="BodyText1"/>
        <w:rPr>
          <w:rFonts w:asciiTheme="minorHAnsi" w:hAnsiTheme="minorHAnsi" w:cstheme="minorHAnsi"/>
        </w:rPr>
      </w:pPr>
      <w:r w:rsidRPr="00267DB0">
        <w:rPr>
          <w:rFonts w:asciiTheme="minorHAnsi" w:hAnsiTheme="minorHAnsi" w:cstheme="minorHAnsi"/>
        </w:rPr>
        <w:t xml:space="preserve">This continued decline in the number of RACP shows evidence of Providers leaving the residential aged care market as well as industry consolidation. This evidence is supported by studies from StewartBrown Chartered Accountants and the Aged Care Financing Authority. I would expect to see RACP numbers contract further in the future given the current state of the industry and the need for greater economies of scale required to support ongoing viability and sustainability for industry participants. </w:t>
      </w:r>
    </w:p>
    <w:p w:rsidR="00AD6E03" w:rsidRPr="00267DB0" w:rsidRDefault="00D571C0" w:rsidP="00D571C0">
      <w:pPr>
        <w:pStyle w:val="BodyText1"/>
        <w:rPr>
          <w:rFonts w:asciiTheme="minorHAnsi" w:hAnsiTheme="minorHAnsi" w:cstheme="minorHAnsi"/>
        </w:rPr>
      </w:pPr>
      <w:r w:rsidRPr="00267DB0">
        <w:rPr>
          <w:rFonts w:asciiTheme="minorHAnsi" w:hAnsiTheme="minorHAnsi" w:cstheme="minorHAnsi"/>
        </w:rPr>
        <w:lastRenderedPageBreak/>
        <w:t>As can be seen from the figures in the table above the Office of the Aged Care Pricing Commissioner deals with approximately 9-10% of all RACP on an annual basis and cumulatively over the last 5 years the office has dealt with close to 22% of all RACP. This means that the Aged Care Pricing Commissioner has had dealings with 1 in 5 RACP, a pleasing figure in terms of industry wide engagement.</w:t>
      </w:r>
    </w:p>
    <w:p w:rsidR="00D571C0" w:rsidRPr="00267DB0" w:rsidRDefault="00D571C0" w:rsidP="00D571C0">
      <w:pPr>
        <w:pStyle w:val="H3"/>
        <w:rPr>
          <w:rFonts w:asciiTheme="minorHAnsi" w:hAnsiTheme="minorHAnsi" w:cstheme="minorHAnsi"/>
        </w:rPr>
      </w:pPr>
      <w:r w:rsidRPr="00267DB0">
        <w:rPr>
          <w:rFonts w:asciiTheme="minorHAnsi" w:hAnsiTheme="minorHAnsi" w:cstheme="minorHAnsi"/>
        </w:rPr>
        <w:t xml:space="preserve">Aged Care Facilities </w:t>
      </w:r>
    </w:p>
    <w:p w:rsidR="00D571C0" w:rsidRPr="00267DB0" w:rsidRDefault="00D571C0" w:rsidP="00D571C0">
      <w:pPr>
        <w:pStyle w:val="BodyText1"/>
        <w:rPr>
          <w:rFonts w:asciiTheme="minorHAnsi" w:hAnsiTheme="minorHAnsi" w:cstheme="minorHAnsi"/>
        </w:rPr>
      </w:pPr>
      <w:r w:rsidRPr="00267DB0">
        <w:rPr>
          <w:rFonts w:asciiTheme="minorHAnsi" w:hAnsiTheme="minorHAnsi" w:cstheme="minorHAnsi"/>
        </w:rPr>
        <w:t>During 2018/19, the Aged Care Pricing Commissioner received Applications from RACP in relation to 163 RAC Facilities. This contrasts with 2017/18 when the number of RACP lodged applications in relation to 190 facilities.</w:t>
      </w:r>
    </w:p>
    <w:tbl>
      <w:tblPr>
        <w:tblW w:w="10173" w:type="dxa"/>
        <w:tblInd w:w="-108"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620" w:firstRow="1" w:lastRow="0" w:firstColumn="0" w:lastColumn="0" w:noHBand="1" w:noVBand="1"/>
        <w:tblCaption w:val="Aged Care Facilities "/>
      </w:tblPr>
      <w:tblGrid>
        <w:gridCol w:w="1695"/>
        <w:gridCol w:w="1696"/>
        <w:gridCol w:w="1695"/>
        <w:gridCol w:w="1696"/>
        <w:gridCol w:w="1695"/>
        <w:gridCol w:w="1696"/>
      </w:tblGrid>
      <w:tr w:rsidR="00D82E0F" w:rsidRPr="00267DB0" w:rsidTr="00D82E0F">
        <w:trPr>
          <w:trHeight w:val="248"/>
        </w:trPr>
        <w:tc>
          <w:tcPr>
            <w:tcW w:w="1695" w:type="dxa"/>
            <w:shd w:val="clear" w:color="auto" w:fill="0097AB"/>
          </w:tcPr>
          <w:p w:rsidR="00D571C0" w:rsidRPr="00BD4396" w:rsidRDefault="00D571C0" w:rsidP="00BD4396">
            <w:pPr>
              <w:pStyle w:val="Tabletext"/>
              <w:rPr>
                <w:b/>
                <w:bCs/>
                <w:color w:val="FFFFFF" w:themeColor="background1"/>
                <w:lang w:val="en-GB"/>
              </w:rPr>
            </w:pPr>
            <w:r w:rsidRPr="00BD4396">
              <w:rPr>
                <w:b/>
                <w:bCs/>
                <w:color w:val="FFFFFF" w:themeColor="background1"/>
                <w:lang w:val="en-GB"/>
              </w:rPr>
              <w:t xml:space="preserve">Year </w:t>
            </w:r>
          </w:p>
        </w:tc>
        <w:tc>
          <w:tcPr>
            <w:tcW w:w="1696" w:type="dxa"/>
            <w:shd w:val="clear" w:color="auto" w:fill="0097AB"/>
          </w:tcPr>
          <w:p w:rsidR="00D571C0" w:rsidRPr="00BD4396" w:rsidRDefault="00D571C0" w:rsidP="00BD4396">
            <w:pPr>
              <w:pStyle w:val="Tabletext"/>
              <w:jc w:val="center"/>
              <w:rPr>
                <w:b/>
                <w:bCs/>
                <w:color w:val="FFFFFF" w:themeColor="background1"/>
                <w:lang w:val="en-GB"/>
              </w:rPr>
            </w:pPr>
            <w:r w:rsidRPr="00BD4396">
              <w:rPr>
                <w:b/>
                <w:bCs/>
                <w:color w:val="FFFFFF" w:themeColor="background1"/>
                <w:lang w:val="en-GB"/>
              </w:rPr>
              <w:t>Applying</w:t>
            </w:r>
          </w:p>
        </w:tc>
        <w:tc>
          <w:tcPr>
            <w:tcW w:w="1695" w:type="dxa"/>
            <w:shd w:val="clear" w:color="auto" w:fill="0097AB"/>
          </w:tcPr>
          <w:p w:rsidR="00D571C0" w:rsidRPr="00BD4396" w:rsidRDefault="00D571C0" w:rsidP="00BD4396">
            <w:pPr>
              <w:pStyle w:val="Tabletext"/>
              <w:jc w:val="center"/>
              <w:rPr>
                <w:b/>
                <w:bCs/>
                <w:color w:val="FFFFFF" w:themeColor="background1"/>
                <w:lang w:val="en-GB"/>
              </w:rPr>
            </w:pPr>
            <w:r w:rsidRPr="00BD4396">
              <w:rPr>
                <w:b/>
                <w:bCs/>
                <w:color w:val="FFFFFF" w:themeColor="background1"/>
                <w:lang w:val="en-GB"/>
              </w:rPr>
              <w:t>Approved</w:t>
            </w:r>
          </w:p>
        </w:tc>
        <w:tc>
          <w:tcPr>
            <w:tcW w:w="1696" w:type="dxa"/>
            <w:shd w:val="clear" w:color="auto" w:fill="0097AB"/>
          </w:tcPr>
          <w:p w:rsidR="00D571C0" w:rsidRPr="00BD4396" w:rsidRDefault="00D571C0" w:rsidP="00BD4396">
            <w:pPr>
              <w:pStyle w:val="Tabletext"/>
              <w:jc w:val="center"/>
              <w:rPr>
                <w:b/>
                <w:bCs/>
                <w:color w:val="FFFFFF" w:themeColor="background1"/>
                <w:lang w:val="en-GB"/>
              </w:rPr>
            </w:pPr>
            <w:r w:rsidRPr="00BD4396">
              <w:rPr>
                <w:b/>
                <w:bCs/>
                <w:color w:val="FFFFFF" w:themeColor="background1"/>
                <w:lang w:val="en-GB"/>
              </w:rPr>
              <w:t>Total in Sector</w:t>
            </w:r>
          </w:p>
        </w:tc>
        <w:tc>
          <w:tcPr>
            <w:tcW w:w="1695" w:type="dxa"/>
            <w:shd w:val="clear" w:color="auto" w:fill="0097AB"/>
          </w:tcPr>
          <w:p w:rsidR="00D571C0" w:rsidRPr="00BD4396" w:rsidRDefault="00D571C0" w:rsidP="00BD4396">
            <w:pPr>
              <w:pStyle w:val="Tabletext"/>
              <w:jc w:val="center"/>
              <w:rPr>
                <w:b/>
                <w:bCs/>
                <w:color w:val="FFFFFF" w:themeColor="background1"/>
                <w:lang w:val="en-GB"/>
              </w:rPr>
            </w:pPr>
            <w:r w:rsidRPr="00BD4396">
              <w:rPr>
                <w:b/>
                <w:bCs/>
                <w:color w:val="FFFFFF" w:themeColor="background1"/>
                <w:lang w:val="en-GB"/>
              </w:rPr>
              <w:t>Sector % Approved YTD</w:t>
            </w:r>
          </w:p>
        </w:tc>
        <w:tc>
          <w:tcPr>
            <w:tcW w:w="1696" w:type="dxa"/>
            <w:shd w:val="clear" w:color="auto" w:fill="0097AB"/>
          </w:tcPr>
          <w:p w:rsidR="00D571C0" w:rsidRPr="00BD4396" w:rsidRDefault="00D571C0" w:rsidP="00BD4396">
            <w:pPr>
              <w:pStyle w:val="Tabletext"/>
              <w:jc w:val="center"/>
              <w:rPr>
                <w:b/>
                <w:bCs/>
                <w:color w:val="FFFFFF" w:themeColor="background1"/>
                <w:lang w:val="en-GB"/>
              </w:rPr>
            </w:pPr>
            <w:r w:rsidRPr="00BD4396">
              <w:rPr>
                <w:b/>
                <w:bCs/>
                <w:color w:val="FFFFFF" w:themeColor="background1"/>
                <w:lang w:val="en-GB"/>
              </w:rPr>
              <w:t>Sector % Approved Since June 2014</w:t>
            </w:r>
          </w:p>
        </w:tc>
      </w:tr>
      <w:tr w:rsidR="00D571C0" w:rsidRPr="00267DB0" w:rsidTr="00267DB0">
        <w:trPr>
          <w:trHeight w:val="108"/>
        </w:trPr>
        <w:tc>
          <w:tcPr>
            <w:tcW w:w="1695" w:type="dxa"/>
          </w:tcPr>
          <w:p w:rsidR="00D571C0" w:rsidRPr="00267DB0" w:rsidRDefault="00D571C0" w:rsidP="00BD4396">
            <w:pPr>
              <w:pStyle w:val="Tabletext"/>
              <w:rPr>
                <w:color w:val="403F41"/>
                <w:sz w:val="18"/>
                <w:szCs w:val="18"/>
                <w:lang w:val="en-GB"/>
              </w:rPr>
            </w:pPr>
            <w:r w:rsidRPr="00267DB0">
              <w:rPr>
                <w:color w:val="403F41"/>
                <w:sz w:val="18"/>
                <w:szCs w:val="18"/>
                <w:lang w:val="en-GB"/>
              </w:rPr>
              <w:t xml:space="preserve">2017-2018 </w:t>
            </w:r>
          </w:p>
        </w:tc>
        <w:tc>
          <w:tcPr>
            <w:tcW w:w="1696" w:type="dxa"/>
          </w:tcPr>
          <w:p w:rsidR="00D571C0" w:rsidRPr="00267DB0" w:rsidRDefault="00D571C0" w:rsidP="00BD4396">
            <w:pPr>
              <w:pStyle w:val="Tabletext"/>
              <w:jc w:val="center"/>
              <w:rPr>
                <w:color w:val="403F41"/>
                <w:sz w:val="18"/>
                <w:szCs w:val="18"/>
                <w:lang w:val="en-GB"/>
              </w:rPr>
            </w:pPr>
            <w:r w:rsidRPr="00267DB0">
              <w:rPr>
                <w:color w:val="403F41"/>
                <w:sz w:val="18"/>
                <w:szCs w:val="18"/>
                <w:lang w:val="en-GB"/>
              </w:rPr>
              <w:t>190</w:t>
            </w:r>
          </w:p>
        </w:tc>
        <w:tc>
          <w:tcPr>
            <w:tcW w:w="1695" w:type="dxa"/>
          </w:tcPr>
          <w:p w:rsidR="00D571C0" w:rsidRPr="00267DB0" w:rsidRDefault="00D571C0" w:rsidP="00BD4396">
            <w:pPr>
              <w:pStyle w:val="Tabletext"/>
              <w:jc w:val="center"/>
              <w:rPr>
                <w:color w:val="403F41"/>
                <w:sz w:val="18"/>
                <w:szCs w:val="18"/>
                <w:lang w:val="en-GB"/>
              </w:rPr>
            </w:pPr>
            <w:r w:rsidRPr="00267DB0">
              <w:rPr>
                <w:color w:val="403F41"/>
                <w:sz w:val="18"/>
                <w:szCs w:val="18"/>
                <w:lang w:val="en-GB"/>
              </w:rPr>
              <w:t>135</w:t>
            </w:r>
          </w:p>
        </w:tc>
        <w:tc>
          <w:tcPr>
            <w:tcW w:w="1696" w:type="dxa"/>
          </w:tcPr>
          <w:p w:rsidR="00D571C0" w:rsidRPr="00267DB0" w:rsidRDefault="00D571C0" w:rsidP="00BD4396">
            <w:pPr>
              <w:pStyle w:val="Tabletext"/>
              <w:jc w:val="center"/>
              <w:rPr>
                <w:color w:val="403F41"/>
                <w:sz w:val="18"/>
                <w:szCs w:val="18"/>
                <w:lang w:val="en-GB"/>
              </w:rPr>
            </w:pPr>
            <w:r w:rsidRPr="00267DB0">
              <w:rPr>
                <w:color w:val="403F41"/>
                <w:sz w:val="18"/>
                <w:szCs w:val="18"/>
                <w:lang w:val="en-GB"/>
              </w:rPr>
              <w:t>2,672</w:t>
            </w:r>
          </w:p>
        </w:tc>
        <w:tc>
          <w:tcPr>
            <w:tcW w:w="1695" w:type="dxa"/>
          </w:tcPr>
          <w:p w:rsidR="00D571C0" w:rsidRPr="00267DB0" w:rsidRDefault="00D571C0" w:rsidP="00BD4396">
            <w:pPr>
              <w:pStyle w:val="Tabletext"/>
              <w:jc w:val="center"/>
              <w:rPr>
                <w:color w:val="403F41"/>
                <w:sz w:val="18"/>
                <w:szCs w:val="18"/>
                <w:lang w:val="en-GB"/>
              </w:rPr>
            </w:pPr>
            <w:r w:rsidRPr="00267DB0">
              <w:rPr>
                <w:color w:val="403F41"/>
                <w:sz w:val="18"/>
                <w:szCs w:val="18"/>
                <w:lang w:val="en-GB"/>
              </w:rPr>
              <w:t>5.05%</w:t>
            </w:r>
          </w:p>
        </w:tc>
        <w:tc>
          <w:tcPr>
            <w:tcW w:w="1696" w:type="dxa"/>
          </w:tcPr>
          <w:p w:rsidR="00D571C0" w:rsidRPr="00267DB0" w:rsidRDefault="00D571C0" w:rsidP="00BD4396">
            <w:pPr>
              <w:pStyle w:val="Tabletext"/>
              <w:jc w:val="center"/>
              <w:rPr>
                <w:color w:val="403F41"/>
                <w:sz w:val="18"/>
                <w:szCs w:val="18"/>
                <w:lang w:val="en-GB"/>
              </w:rPr>
            </w:pPr>
            <w:r w:rsidRPr="00267DB0">
              <w:rPr>
                <w:color w:val="403F41"/>
                <w:sz w:val="18"/>
                <w:szCs w:val="18"/>
                <w:lang w:val="en-GB"/>
              </w:rPr>
              <w:t>12.99%</w:t>
            </w:r>
          </w:p>
        </w:tc>
      </w:tr>
      <w:tr w:rsidR="00D571C0" w:rsidRPr="00267DB0" w:rsidTr="00267DB0">
        <w:trPr>
          <w:trHeight w:val="108"/>
        </w:trPr>
        <w:tc>
          <w:tcPr>
            <w:tcW w:w="1695" w:type="dxa"/>
          </w:tcPr>
          <w:p w:rsidR="00D571C0" w:rsidRPr="00267DB0" w:rsidRDefault="00D571C0" w:rsidP="00BD4396">
            <w:pPr>
              <w:pStyle w:val="Tabletext"/>
              <w:rPr>
                <w:color w:val="403F41"/>
                <w:sz w:val="18"/>
                <w:szCs w:val="18"/>
                <w:lang w:val="en-GB"/>
              </w:rPr>
            </w:pPr>
            <w:r w:rsidRPr="00267DB0">
              <w:rPr>
                <w:color w:val="403F41"/>
                <w:sz w:val="18"/>
                <w:szCs w:val="18"/>
                <w:lang w:val="en-GB"/>
              </w:rPr>
              <w:t xml:space="preserve">2018-2019 </w:t>
            </w:r>
          </w:p>
        </w:tc>
        <w:tc>
          <w:tcPr>
            <w:tcW w:w="1696" w:type="dxa"/>
          </w:tcPr>
          <w:p w:rsidR="00D571C0" w:rsidRPr="00267DB0" w:rsidRDefault="00D571C0" w:rsidP="00BD4396">
            <w:pPr>
              <w:pStyle w:val="Tabletext"/>
              <w:jc w:val="center"/>
              <w:rPr>
                <w:color w:val="403F41"/>
                <w:sz w:val="18"/>
                <w:szCs w:val="18"/>
                <w:lang w:val="en-GB"/>
              </w:rPr>
            </w:pPr>
            <w:r w:rsidRPr="00267DB0">
              <w:rPr>
                <w:color w:val="403F41"/>
                <w:sz w:val="18"/>
                <w:szCs w:val="18"/>
                <w:lang w:val="en-GB"/>
              </w:rPr>
              <w:t>163</w:t>
            </w:r>
          </w:p>
        </w:tc>
        <w:tc>
          <w:tcPr>
            <w:tcW w:w="1695" w:type="dxa"/>
          </w:tcPr>
          <w:p w:rsidR="00D571C0" w:rsidRPr="00267DB0" w:rsidRDefault="00D571C0" w:rsidP="00BD4396">
            <w:pPr>
              <w:pStyle w:val="Tabletext"/>
              <w:jc w:val="center"/>
              <w:rPr>
                <w:color w:val="403F41"/>
                <w:sz w:val="18"/>
                <w:szCs w:val="18"/>
                <w:lang w:val="en-GB"/>
              </w:rPr>
            </w:pPr>
            <w:r w:rsidRPr="00267DB0">
              <w:rPr>
                <w:color w:val="403F41"/>
                <w:sz w:val="18"/>
                <w:szCs w:val="18"/>
                <w:lang w:val="en-GB"/>
              </w:rPr>
              <w:t>155</w:t>
            </w:r>
          </w:p>
        </w:tc>
        <w:tc>
          <w:tcPr>
            <w:tcW w:w="1696" w:type="dxa"/>
          </w:tcPr>
          <w:p w:rsidR="00D571C0" w:rsidRPr="00267DB0" w:rsidRDefault="00D571C0" w:rsidP="00BD4396">
            <w:pPr>
              <w:pStyle w:val="Tabletext"/>
              <w:jc w:val="center"/>
              <w:rPr>
                <w:color w:val="403F41"/>
                <w:sz w:val="18"/>
                <w:szCs w:val="18"/>
                <w:lang w:val="en-GB"/>
              </w:rPr>
            </w:pPr>
            <w:r w:rsidRPr="00267DB0">
              <w:rPr>
                <w:color w:val="403F41"/>
                <w:sz w:val="18"/>
                <w:szCs w:val="18"/>
                <w:lang w:val="en-GB"/>
              </w:rPr>
              <w:t>2,695</w:t>
            </w:r>
          </w:p>
        </w:tc>
        <w:tc>
          <w:tcPr>
            <w:tcW w:w="1695" w:type="dxa"/>
          </w:tcPr>
          <w:p w:rsidR="00D571C0" w:rsidRPr="00267DB0" w:rsidRDefault="00D571C0" w:rsidP="00BD4396">
            <w:pPr>
              <w:pStyle w:val="Tabletext"/>
              <w:jc w:val="center"/>
              <w:rPr>
                <w:color w:val="403F41"/>
                <w:sz w:val="18"/>
                <w:szCs w:val="18"/>
                <w:lang w:val="en-GB"/>
              </w:rPr>
            </w:pPr>
            <w:r w:rsidRPr="00267DB0">
              <w:rPr>
                <w:color w:val="403F41"/>
                <w:sz w:val="18"/>
                <w:szCs w:val="18"/>
                <w:lang w:val="en-GB"/>
              </w:rPr>
              <w:t>5.75%</w:t>
            </w:r>
          </w:p>
        </w:tc>
        <w:tc>
          <w:tcPr>
            <w:tcW w:w="1696" w:type="dxa"/>
          </w:tcPr>
          <w:p w:rsidR="00D571C0" w:rsidRPr="00267DB0" w:rsidRDefault="00D571C0" w:rsidP="00BD4396">
            <w:pPr>
              <w:pStyle w:val="Tabletext"/>
              <w:jc w:val="center"/>
              <w:rPr>
                <w:color w:val="403F41"/>
                <w:sz w:val="18"/>
                <w:szCs w:val="18"/>
                <w:lang w:val="en-GB"/>
              </w:rPr>
            </w:pPr>
            <w:r w:rsidRPr="00267DB0">
              <w:rPr>
                <w:color w:val="403F41"/>
                <w:sz w:val="18"/>
                <w:szCs w:val="18"/>
                <w:lang w:val="en-GB"/>
              </w:rPr>
              <w:t>15.81%</w:t>
            </w:r>
          </w:p>
        </w:tc>
      </w:tr>
    </w:tbl>
    <w:p w:rsidR="00D571C0" w:rsidRPr="00267DB0" w:rsidRDefault="00D571C0" w:rsidP="00D571C0">
      <w:pPr>
        <w:pStyle w:val="BodyText1"/>
        <w:rPr>
          <w:rFonts w:asciiTheme="minorHAnsi" w:hAnsiTheme="minorHAnsi" w:cstheme="minorHAnsi"/>
        </w:rPr>
      </w:pPr>
      <w:r w:rsidRPr="00267DB0">
        <w:rPr>
          <w:rFonts w:asciiTheme="minorHAnsi" w:hAnsiTheme="minorHAnsi" w:cstheme="minorHAnsi"/>
        </w:rPr>
        <w:t>It is interesting to note that the number of RACF nationally increased over the last 2 years from 2,672 in 2017/18 to 2,695 in 2018/19, an increase of 23 facilities. The number of RACF dealt with annually by the Aged Care Pricing Commissioner is fairly constant at around 5-6%. Of note, over the last 5 years the Aged Care Pricing Commissioner has dealt with just under 16% of all RACF, again showing reasonable levels of Industry engagement.</w:t>
      </w:r>
    </w:p>
    <w:p w:rsidR="00D571C0" w:rsidRPr="00267DB0" w:rsidRDefault="00D571C0" w:rsidP="00D571C0">
      <w:pPr>
        <w:pStyle w:val="H3"/>
        <w:rPr>
          <w:rFonts w:asciiTheme="minorHAnsi" w:hAnsiTheme="minorHAnsi" w:cstheme="minorHAnsi"/>
        </w:rPr>
      </w:pPr>
      <w:r w:rsidRPr="00267DB0">
        <w:rPr>
          <w:rFonts w:asciiTheme="minorHAnsi" w:hAnsiTheme="minorHAnsi" w:cstheme="minorHAnsi"/>
        </w:rPr>
        <w:t xml:space="preserve">Residential Aged Care Rooms/Places </w:t>
      </w:r>
    </w:p>
    <w:p w:rsidR="00D571C0" w:rsidRPr="00267DB0" w:rsidRDefault="00D571C0" w:rsidP="00D571C0">
      <w:pPr>
        <w:pStyle w:val="BodyText1"/>
        <w:rPr>
          <w:rFonts w:asciiTheme="minorHAnsi" w:hAnsiTheme="minorHAnsi" w:cstheme="minorHAnsi"/>
        </w:rPr>
      </w:pPr>
      <w:r w:rsidRPr="00267DB0">
        <w:rPr>
          <w:rFonts w:asciiTheme="minorHAnsi" w:hAnsiTheme="minorHAnsi" w:cstheme="minorHAnsi"/>
        </w:rPr>
        <w:t>During 2018/19, the Aged Care Pricing Commissioner received Applications, including Renewals for 6,388 Rooms/ Places. During 2018/19 the Aged Care Pricing Commissioner approved Applications, including Renewals in relation to 8,117 Rooms/Places.</w:t>
      </w:r>
    </w:p>
    <w:tbl>
      <w:tblPr>
        <w:tblW w:w="10173" w:type="dxa"/>
        <w:tblInd w:w="-108"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620" w:firstRow="1" w:lastRow="0" w:firstColumn="0" w:lastColumn="0" w:noHBand="1" w:noVBand="1"/>
        <w:tblCaption w:val="Residential Aged Care Rooms/Places "/>
      </w:tblPr>
      <w:tblGrid>
        <w:gridCol w:w="1695"/>
        <w:gridCol w:w="1696"/>
        <w:gridCol w:w="1695"/>
        <w:gridCol w:w="1696"/>
        <w:gridCol w:w="1695"/>
        <w:gridCol w:w="1696"/>
      </w:tblGrid>
      <w:tr w:rsidR="00D82E0F" w:rsidRPr="00267DB0" w:rsidTr="00D82E0F">
        <w:trPr>
          <w:trHeight w:val="248"/>
        </w:trPr>
        <w:tc>
          <w:tcPr>
            <w:tcW w:w="1695" w:type="dxa"/>
            <w:shd w:val="clear" w:color="auto" w:fill="0097AB"/>
          </w:tcPr>
          <w:p w:rsidR="00D571C0" w:rsidRPr="00BD4396" w:rsidRDefault="00D571C0" w:rsidP="00BD4396">
            <w:pPr>
              <w:pStyle w:val="Tabletext"/>
              <w:rPr>
                <w:color w:val="FFFFFF" w:themeColor="background1"/>
                <w:lang w:val="en-GB"/>
              </w:rPr>
            </w:pPr>
            <w:r w:rsidRPr="00BD4396">
              <w:rPr>
                <w:color w:val="FFFFFF" w:themeColor="background1"/>
                <w:lang w:val="en-GB"/>
              </w:rPr>
              <w:t xml:space="preserve">Year </w:t>
            </w:r>
          </w:p>
        </w:tc>
        <w:tc>
          <w:tcPr>
            <w:tcW w:w="1696" w:type="dxa"/>
            <w:shd w:val="clear" w:color="auto" w:fill="0097AB"/>
          </w:tcPr>
          <w:p w:rsidR="00D571C0" w:rsidRPr="00BD4396" w:rsidRDefault="00D571C0" w:rsidP="00BD4396">
            <w:pPr>
              <w:pStyle w:val="Tabletext"/>
              <w:jc w:val="center"/>
              <w:rPr>
                <w:color w:val="FFFFFF" w:themeColor="background1"/>
                <w:lang w:val="en-GB"/>
              </w:rPr>
            </w:pPr>
            <w:r w:rsidRPr="00BD4396">
              <w:rPr>
                <w:color w:val="FFFFFF" w:themeColor="background1"/>
                <w:lang w:val="en-GB"/>
              </w:rPr>
              <w:t>Applying</w:t>
            </w:r>
          </w:p>
        </w:tc>
        <w:tc>
          <w:tcPr>
            <w:tcW w:w="1695" w:type="dxa"/>
            <w:shd w:val="clear" w:color="auto" w:fill="0097AB"/>
          </w:tcPr>
          <w:p w:rsidR="00D571C0" w:rsidRPr="00BD4396" w:rsidRDefault="00D571C0" w:rsidP="00BD4396">
            <w:pPr>
              <w:pStyle w:val="Tabletext"/>
              <w:jc w:val="center"/>
              <w:rPr>
                <w:color w:val="FFFFFF" w:themeColor="background1"/>
                <w:lang w:val="en-GB"/>
              </w:rPr>
            </w:pPr>
            <w:r w:rsidRPr="00BD4396">
              <w:rPr>
                <w:color w:val="FFFFFF" w:themeColor="background1"/>
                <w:lang w:val="en-GB"/>
              </w:rPr>
              <w:t>Approved</w:t>
            </w:r>
          </w:p>
        </w:tc>
        <w:tc>
          <w:tcPr>
            <w:tcW w:w="1696" w:type="dxa"/>
            <w:shd w:val="clear" w:color="auto" w:fill="0097AB"/>
          </w:tcPr>
          <w:p w:rsidR="00D571C0" w:rsidRPr="00BD4396" w:rsidRDefault="00D571C0" w:rsidP="00BD4396">
            <w:pPr>
              <w:pStyle w:val="Tabletext"/>
              <w:jc w:val="center"/>
              <w:rPr>
                <w:color w:val="FFFFFF" w:themeColor="background1"/>
                <w:lang w:val="en-GB"/>
              </w:rPr>
            </w:pPr>
            <w:r w:rsidRPr="00BD4396">
              <w:rPr>
                <w:color w:val="FFFFFF" w:themeColor="background1"/>
                <w:lang w:val="en-GB"/>
              </w:rPr>
              <w:t>Total in Sector</w:t>
            </w:r>
          </w:p>
        </w:tc>
        <w:tc>
          <w:tcPr>
            <w:tcW w:w="1695" w:type="dxa"/>
            <w:shd w:val="clear" w:color="auto" w:fill="0097AB"/>
          </w:tcPr>
          <w:p w:rsidR="00D571C0" w:rsidRPr="00BD4396" w:rsidRDefault="00D571C0" w:rsidP="00BD4396">
            <w:pPr>
              <w:pStyle w:val="Tabletext"/>
              <w:jc w:val="center"/>
              <w:rPr>
                <w:color w:val="FFFFFF" w:themeColor="background1"/>
                <w:lang w:val="en-GB"/>
              </w:rPr>
            </w:pPr>
            <w:r w:rsidRPr="00BD4396">
              <w:rPr>
                <w:color w:val="FFFFFF" w:themeColor="background1"/>
                <w:lang w:val="en-GB"/>
              </w:rPr>
              <w:t>Sector % Approved YTD</w:t>
            </w:r>
          </w:p>
        </w:tc>
        <w:tc>
          <w:tcPr>
            <w:tcW w:w="1696" w:type="dxa"/>
            <w:shd w:val="clear" w:color="auto" w:fill="0097AB"/>
          </w:tcPr>
          <w:p w:rsidR="00D571C0" w:rsidRPr="00BD4396" w:rsidRDefault="00D571C0" w:rsidP="00BD4396">
            <w:pPr>
              <w:pStyle w:val="Tabletext"/>
              <w:jc w:val="center"/>
              <w:rPr>
                <w:color w:val="FFFFFF" w:themeColor="background1"/>
                <w:lang w:val="en-GB"/>
              </w:rPr>
            </w:pPr>
            <w:r w:rsidRPr="00BD4396">
              <w:rPr>
                <w:color w:val="FFFFFF" w:themeColor="background1"/>
                <w:lang w:val="en-GB"/>
              </w:rPr>
              <w:t>Sector % Approved Since June 2014</w:t>
            </w:r>
          </w:p>
        </w:tc>
      </w:tr>
      <w:tr w:rsidR="00D571C0" w:rsidRPr="00267DB0" w:rsidTr="00267DB0">
        <w:trPr>
          <w:trHeight w:val="108"/>
        </w:trPr>
        <w:tc>
          <w:tcPr>
            <w:tcW w:w="1695" w:type="dxa"/>
          </w:tcPr>
          <w:p w:rsidR="00D571C0" w:rsidRPr="00267DB0" w:rsidRDefault="00D571C0" w:rsidP="00BD4396">
            <w:pPr>
              <w:pStyle w:val="Tabletext"/>
              <w:rPr>
                <w:color w:val="403F41"/>
                <w:sz w:val="18"/>
                <w:szCs w:val="18"/>
                <w:lang w:val="en-GB"/>
              </w:rPr>
            </w:pPr>
            <w:r w:rsidRPr="00267DB0">
              <w:rPr>
                <w:color w:val="403F41"/>
                <w:sz w:val="18"/>
                <w:szCs w:val="18"/>
                <w:lang w:val="en-GB"/>
              </w:rPr>
              <w:t xml:space="preserve">2017-2018 </w:t>
            </w:r>
          </w:p>
        </w:tc>
        <w:tc>
          <w:tcPr>
            <w:tcW w:w="1696" w:type="dxa"/>
          </w:tcPr>
          <w:p w:rsidR="00D571C0" w:rsidRPr="00267DB0" w:rsidRDefault="00D571C0" w:rsidP="00BD4396">
            <w:pPr>
              <w:pStyle w:val="Tabletext"/>
              <w:jc w:val="center"/>
              <w:rPr>
                <w:color w:val="403F41"/>
                <w:sz w:val="18"/>
                <w:szCs w:val="18"/>
                <w:lang w:val="en-GB"/>
              </w:rPr>
            </w:pPr>
            <w:r w:rsidRPr="00267DB0">
              <w:rPr>
                <w:color w:val="403F41"/>
                <w:sz w:val="18"/>
                <w:szCs w:val="18"/>
                <w:lang w:val="en-GB"/>
              </w:rPr>
              <w:t>10,497</w:t>
            </w:r>
          </w:p>
        </w:tc>
        <w:tc>
          <w:tcPr>
            <w:tcW w:w="1695" w:type="dxa"/>
          </w:tcPr>
          <w:p w:rsidR="00D571C0" w:rsidRPr="00267DB0" w:rsidRDefault="00D571C0" w:rsidP="00BD4396">
            <w:pPr>
              <w:pStyle w:val="Tabletext"/>
              <w:jc w:val="center"/>
              <w:rPr>
                <w:color w:val="403F41"/>
                <w:sz w:val="18"/>
                <w:szCs w:val="18"/>
                <w:lang w:val="en-GB"/>
              </w:rPr>
            </w:pPr>
            <w:r w:rsidRPr="00267DB0">
              <w:rPr>
                <w:color w:val="403F41"/>
                <w:sz w:val="18"/>
                <w:szCs w:val="18"/>
                <w:lang w:val="en-GB"/>
              </w:rPr>
              <w:t>7,705</w:t>
            </w:r>
          </w:p>
        </w:tc>
        <w:tc>
          <w:tcPr>
            <w:tcW w:w="1696" w:type="dxa"/>
          </w:tcPr>
          <w:p w:rsidR="00D571C0" w:rsidRPr="00267DB0" w:rsidRDefault="00D571C0" w:rsidP="00BD4396">
            <w:pPr>
              <w:pStyle w:val="Tabletext"/>
              <w:jc w:val="center"/>
              <w:rPr>
                <w:color w:val="403F41"/>
                <w:sz w:val="18"/>
                <w:szCs w:val="18"/>
                <w:lang w:val="en-GB"/>
              </w:rPr>
            </w:pPr>
            <w:r w:rsidRPr="00267DB0">
              <w:rPr>
                <w:color w:val="403F41"/>
                <w:sz w:val="18"/>
                <w:szCs w:val="18"/>
                <w:lang w:val="en-GB"/>
              </w:rPr>
              <w:t>200,689</w:t>
            </w:r>
          </w:p>
        </w:tc>
        <w:tc>
          <w:tcPr>
            <w:tcW w:w="1695" w:type="dxa"/>
          </w:tcPr>
          <w:p w:rsidR="00D571C0" w:rsidRPr="00267DB0" w:rsidRDefault="00D571C0" w:rsidP="00BD4396">
            <w:pPr>
              <w:pStyle w:val="Tabletext"/>
              <w:jc w:val="center"/>
              <w:rPr>
                <w:color w:val="403F41"/>
                <w:sz w:val="18"/>
                <w:szCs w:val="18"/>
                <w:lang w:val="en-GB"/>
              </w:rPr>
            </w:pPr>
            <w:r w:rsidRPr="00267DB0">
              <w:rPr>
                <w:color w:val="403F41"/>
                <w:sz w:val="18"/>
                <w:szCs w:val="18"/>
                <w:lang w:val="en-GB"/>
              </w:rPr>
              <w:t>3.84%</w:t>
            </w:r>
          </w:p>
        </w:tc>
        <w:tc>
          <w:tcPr>
            <w:tcW w:w="1696" w:type="dxa"/>
          </w:tcPr>
          <w:p w:rsidR="00D571C0" w:rsidRPr="00267DB0" w:rsidRDefault="00D571C0" w:rsidP="00BD4396">
            <w:pPr>
              <w:pStyle w:val="Tabletext"/>
              <w:jc w:val="center"/>
              <w:rPr>
                <w:color w:val="403F41"/>
                <w:sz w:val="18"/>
                <w:szCs w:val="18"/>
                <w:lang w:val="en-GB"/>
              </w:rPr>
            </w:pPr>
            <w:r w:rsidRPr="00267DB0">
              <w:rPr>
                <w:color w:val="403F41"/>
                <w:sz w:val="18"/>
                <w:szCs w:val="18"/>
                <w:lang w:val="en-GB"/>
              </w:rPr>
              <w:t>13.8%</w:t>
            </w:r>
          </w:p>
        </w:tc>
      </w:tr>
      <w:tr w:rsidR="00D571C0" w:rsidRPr="00267DB0" w:rsidTr="00267DB0">
        <w:trPr>
          <w:trHeight w:val="108"/>
        </w:trPr>
        <w:tc>
          <w:tcPr>
            <w:tcW w:w="1695" w:type="dxa"/>
          </w:tcPr>
          <w:p w:rsidR="00D571C0" w:rsidRPr="00267DB0" w:rsidRDefault="00D571C0" w:rsidP="00BD4396">
            <w:pPr>
              <w:pStyle w:val="Tabletext"/>
              <w:rPr>
                <w:color w:val="403F41"/>
                <w:sz w:val="18"/>
                <w:szCs w:val="18"/>
                <w:lang w:val="en-GB"/>
              </w:rPr>
            </w:pPr>
            <w:r w:rsidRPr="00267DB0">
              <w:rPr>
                <w:color w:val="403F41"/>
                <w:sz w:val="18"/>
                <w:szCs w:val="18"/>
                <w:lang w:val="en-GB"/>
              </w:rPr>
              <w:t xml:space="preserve">2018-2019 </w:t>
            </w:r>
          </w:p>
        </w:tc>
        <w:tc>
          <w:tcPr>
            <w:tcW w:w="1696" w:type="dxa"/>
          </w:tcPr>
          <w:p w:rsidR="00D571C0" w:rsidRPr="00267DB0" w:rsidRDefault="00D571C0" w:rsidP="00BD4396">
            <w:pPr>
              <w:pStyle w:val="Tabletext"/>
              <w:jc w:val="center"/>
              <w:rPr>
                <w:color w:val="403F41"/>
                <w:sz w:val="18"/>
                <w:szCs w:val="18"/>
                <w:lang w:val="en-GB"/>
              </w:rPr>
            </w:pPr>
            <w:r w:rsidRPr="00267DB0">
              <w:rPr>
                <w:color w:val="403F41"/>
                <w:sz w:val="18"/>
                <w:szCs w:val="18"/>
                <w:lang w:val="en-GB"/>
              </w:rPr>
              <w:t>6,388</w:t>
            </w:r>
          </w:p>
        </w:tc>
        <w:tc>
          <w:tcPr>
            <w:tcW w:w="1695" w:type="dxa"/>
          </w:tcPr>
          <w:p w:rsidR="00D571C0" w:rsidRPr="00267DB0" w:rsidRDefault="00D571C0" w:rsidP="00BD4396">
            <w:pPr>
              <w:pStyle w:val="Tabletext"/>
              <w:jc w:val="center"/>
              <w:rPr>
                <w:color w:val="403F41"/>
                <w:sz w:val="18"/>
                <w:szCs w:val="18"/>
                <w:lang w:val="en-GB"/>
              </w:rPr>
            </w:pPr>
            <w:r w:rsidRPr="00267DB0">
              <w:rPr>
                <w:color w:val="403F41"/>
                <w:sz w:val="18"/>
                <w:szCs w:val="18"/>
                <w:lang w:val="en-GB"/>
              </w:rPr>
              <w:t>8,117</w:t>
            </w:r>
          </w:p>
        </w:tc>
        <w:tc>
          <w:tcPr>
            <w:tcW w:w="1696" w:type="dxa"/>
          </w:tcPr>
          <w:p w:rsidR="00D571C0" w:rsidRPr="00267DB0" w:rsidRDefault="00D571C0" w:rsidP="00BD4396">
            <w:pPr>
              <w:pStyle w:val="Tabletext"/>
              <w:jc w:val="center"/>
              <w:rPr>
                <w:color w:val="403F41"/>
                <w:sz w:val="18"/>
                <w:szCs w:val="18"/>
                <w:lang w:val="en-GB"/>
              </w:rPr>
            </w:pPr>
            <w:r w:rsidRPr="00267DB0">
              <w:rPr>
                <w:color w:val="403F41"/>
                <w:sz w:val="18"/>
                <w:szCs w:val="18"/>
                <w:lang w:val="en-GB"/>
              </w:rPr>
              <w:t>207,142</w:t>
            </w:r>
          </w:p>
        </w:tc>
        <w:tc>
          <w:tcPr>
            <w:tcW w:w="1695" w:type="dxa"/>
          </w:tcPr>
          <w:p w:rsidR="00D571C0" w:rsidRPr="00267DB0" w:rsidRDefault="00D571C0" w:rsidP="00BD4396">
            <w:pPr>
              <w:pStyle w:val="Tabletext"/>
              <w:jc w:val="center"/>
              <w:rPr>
                <w:color w:val="403F41"/>
                <w:sz w:val="18"/>
                <w:szCs w:val="18"/>
                <w:lang w:val="en-GB"/>
              </w:rPr>
            </w:pPr>
            <w:r w:rsidRPr="00267DB0">
              <w:rPr>
                <w:color w:val="403F41"/>
                <w:sz w:val="18"/>
                <w:szCs w:val="18"/>
                <w:lang w:val="en-GB"/>
              </w:rPr>
              <w:t>3.92%</w:t>
            </w:r>
          </w:p>
        </w:tc>
        <w:tc>
          <w:tcPr>
            <w:tcW w:w="1696" w:type="dxa"/>
          </w:tcPr>
          <w:p w:rsidR="00D571C0" w:rsidRPr="00267DB0" w:rsidRDefault="00D571C0" w:rsidP="00BD4396">
            <w:pPr>
              <w:pStyle w:val="Tabletext"/>
              <w:jc w:val="center"/>
              <w:rPr>
                <w:color w:val="403F41"/>
                <w:sz w:val="18"/>
                <w:szCs w:val="18"/>
                <w:lang w:val="en-GB"/>
              </w:rPr>
            </w:pPr>
            <w:r w:rsidRPr="00267DB0">
              <w:rPr>
                <w:color w:val="403F41"/>
                <w:sz w:val="18"/>
                <w:szCs w:val="18"/>
                <w:lang w:val="en-GB"/>
              </w:rPr>
              <w:t>17.31%</w:t>
            </w:r>
          </w:p>
        </w:tc>
      </w:tr>
    </w:tbl>
    <w:p w:rsidR="00D571C0" w:rsidRPr="00267DB0" w:rsidRDefault="00D571C0" w:rsidP="00D571C0">
      <w:pPr>
        <w:pStyle w:val="BodyText1"/>
        <w:rPr>
          <w:rFonts w:asciiTheme="minorHAnsi" w:hAnsiTheme="minorHAnsi" w:cstheme="minorHAnsi"/>
        </w:rPr>
      </w:pPr>
      <w:r w:rsidRPr="00267DB0">
        <w:rPr>
          <w:rFonts w:asciiTheme="minorHAnsi" w:hAnsiTheme="minorHAnsi" w:cstheme="minorHAnsi"/>
        </w:rPr>
        <w:t>As can be seen from the table above the number of Rooms/Places offered nationally has increased from 200,689 in 2017/18 to 207,142 in 2018/19. From the Aged Care Pricing Commissioner’s perspective we approved 8,117 Rooms/Places this year. The higher number of Rooms/Places applied for last year 2017/18 of 10,497 is largely reflective of the large number of Renewals received at the end of the first 4 year cycle. As Aged Care Pricing Commissioner, since June 2014, the office has approved over 17% of all Rooms/Places offered by RACP. This level of engagement at a Provider, Facility and Room/Place level enhances the Aged Care Pricing Commissioner’s level of understanding of what the Industry is offering in terms of accommodation and enables the Office to be consistent and draw true comparisons across different pricing points.</w:t>
      </w:r>
    </w:p>
    <w:p w:rsidR="00267DB0" w:rsidRPr="00267DB0" w:rsidRDefault="00267DB0">
      <w:pPr>
        <w:rPr>
          <w:rFonts w:cstheme="minorHAnsi"/>
          <w:b/>
          <w:bCs/>
          <w:color w:val="0097AB"/>
          <w:sz w:val="22"/>
          <w:szCs w:val="20"/>
          <w:lang w:val="en-GB"/>
        </w:rPr>
      </w:pPr>
      <w:r w:rsidRPr="00267DB0">
        <w:rPr>
          <w:rFonts w:cstheme="minorHAnsi"/>
        </w:rPr>
        <w:br w:type="page"/>
      </w:r>
    </w:p>
    <w:p w:rsidR="00D571C0" w:rsidRPr="00267DB0" w:rsidRDefault="00D571C0" w:rsidP="00D571C0">
      <w:pPr>
        <w:pStyle w:val="H3"/>
        <w:rPr>
          <w:rFonts w:asciiTheme="minorHAnsi" w:hAnsiTheme="minorHAnsi" w:cstheme="minorHAnsi"/>
        </w:rPr>
      </w:pPr>
      <w:r w:rsidRPr="00267DB0">
        <w:rPr>
          <w:rFonts w:asciiTheme="minorHAnsi" w:hAnsiTheme="minorHAnsi" w:cstheme="minorHAnsi"/>
        </w:rPr>
        <w:lastRenderedPageBreak/>
        <w:t>Existing versus New and Refurbished Facilities (approved rooms)</w:t>
      </w:r>
    </w:p>
    <w:tbl>
      <w:tblPr>
        <w:tblW w:w="0" w:type="auto"/>
        <w:tblInd w:w="-108"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620" w:firstRow="1" w:lastRow="0" w:firstColumn="0" w:lastColumn="0" w:noHBand="1" w:noVBand="1"/>
        <w:tblCaption w:val="Existing versus New and Refurbished Facilities (approved rooms)"/>
      </w:tblPr>
      <w:tblGrid>
        <w:gridCol w:w="2660"/>
        <w:gridCol w:w="1807"/>
        <w:gridCol w:w="1878"/>
        <w:gridCol w:w="1736"/>
        <w:gridCol w:w="1808"/>
      </w:tblGrid>
      <w:tr w:rsidR="00B60977" w:rsidRPr="00267DB0" w:rsidTr="00D82E0F">
        <w:trPr>
          <w:cantSplit/>
          <w:trHeight w:val="118"/>
        </w:trPr>
        <w:tc>
          <w:tcPr>
            <w:tcW w:w="2660" w:type="dxa"/>
            <w:shd w:val="clear" w:color="auto" w:fill="0097AB"/>
          </w:tcPr>
          <w:p w:rsidR="00D571C0" w:rsidRPr="00D82E0F" w:rsidRDefault="00D571C0" w:rsidP="00B60977">
            <w:pPr>
              <w:pStyle w:val="Tabletext"/>
              <w:rPr>
                <w:rFonts w:asciiTheme="minorHAnsi" w:hAnsiTheme="minorHAnsi" w:cstheme="minorHAnsi"/>
                <w:b/>
                <w:bCs/>
                <w:color w:val="FFFFFF" w:themeColor="background1"/>
                <w:lang w:val="en-GB"/>
              </w:rPr>
            </w:pPr>
            <w:r w:rsidRPr="00D82E0F">
              <w:rPr>
                <w:rFonts w:asciiTheme="minorHAnsi" w:hAnsiTheme="minorHAnsi" w:cstheme="minorHAnsi"/>
                <w:b/>
                <w:bCs/>
                <w:color w:val="FFFFFF" w:themeColor="background1"/>
                <w:lang w:val="en-GB"/>
              </w:rPr>
              <w:t xml:space="preserve">Facility Type </w:t>
            </w:r>
          </w:p>
        </w:tc>
        <w:tc>
          <w:tcPr>
            <w:tcW w:w="3685" w:type="dxa"/>
            <w:gridSpan w:val="2"/>
            <w:shd w:val="clear" w:color="auto" w:fill="0097AB"/>
          </w:tcPr>
          <w:p w:rsidR="00D571C0" w:rsidRPr="00D82E0F" w:rsidRDefault="00D571C0" w:rsidP="00B60977">
            <w:pPr>
              <w:pStyle w:val="Tabletext"/>
              <w:jc w:val="center"/>
              <w:rPr>
                <w:rFonts w:asciiTheme="minorHAnsi" w:hAnsiTheme="minorHAnsi" w:cstheme="minorHAnsi"/>
                <w:b/>
                <w:bCs/>
                <w:color w:val="FFFFFF" w:themeColor="background1"/>
                <w:lang w:val="en-GB"/>
              </w:rPr>
            </w:pPr>
            <w:r w:rsidRPr="00D82E0F">
              <w:rPr>
                <w:rFonts w:asciiTheme="minorHAnsi" w:hAnsiTheme="minorHAnsi" w:cstheme="minorHAnsi"/>
                <w:b/>
                <w:bCs/>
                <w:color w:val="FFFFFF" w:themeColor="background1"/>
                <w:lang w:val="en-GB"/>
              </w:rPr>
              <w:t>2017-2018</w:t>
            </w:r>
          </w:p>
        </w:tc>
        <w:tc>
          <w:tcPr>
            <w:tcW w:w="3544" w:type="dxa"/>
            <w:gridSpan w:val="2"/>
            <w:shd w:val="clear" w:color="auto" w:fill="0097AB"/>
          </w:tcPr>
          <w:p w:rsidR="00D571C0" w:rsidRPr="00D82E0F" w:rsidRDefault="00D571C0" w:rsidP="00B60977">
            <w:pPr>
              <w:pStyle w:val="Tabletext"/>
              <w:jc w:val="center"/>
              <w:rPr>
                <w:rFonts w:asciiTheme="minorHAnsi" w:hAnsiTheme="minorHAnsi" w:cstheme="minorHAnsi"/>
                <w:b/>
                <w:bCs/>
                <w:color w:val="FFFFFF" w:themeColor="background1"/>
                <w:lang w:val="en-GB"/>
              </w:rPr>
            </w:pPr>
            <w:r w:rsidRPr="00D82E0F">
              <w:rPr>
                <w:rFonts w:asciiTheme="minorHAnsi" w:hAnsiTheme="minorHAnsi" w:cstheme="minorHAnsi"/>
                <w:b/>
                <w:bCs/>
                <w:color w:val="FFFFFF" w:themeColor="background1"/>
                <w:lang w:val="en-GB"/>
              </w:rPr>
              <w:t>2018-2019</w:t>
            </w:r>
          </w:p>
        </w:tc>
      </w:tr>
      <w:tr w:rsidR="00B60977" w:rsidRPr="00267DB0" w:rsidTr="00D95663">
        <w:trPr>
          <w:cantSplit/>
          <w:trHeight w:val="108"/>
        </w:trPr>
        <w:tc>
          <w:tcPr>
            <w:tcW w:w="2660" w:type="dxa"/>
          </w:tcPr>
          <w:p w:rsidR="00D571C0" w:rsidRPr="00267DB0" w:rsidRDefault="00D571C0" w:rsidP="00B60977">
            <w:pPr>
              <w:pStyle w:val="Tabletext"/>
              <w:rPr>
                <w:rFonts w:asciiTheme="minorHAnsi" w:hAnsiTheme="minorHAnsi" w:cstheme="minorHAnsi"/>
                <w:color w:val="403F41"/>
                <w:lang w:val="en-GB"/>
              </w:rPr>
            </w:pPr>
            <w:r w:rsidRPr="00267DB0">
              <w:rPr>
                <w:rFonts w:asciiTheme="minorHAnsi" w:hAnsiTheme="minorHAnsi" w:cstheme="minorHAnsi"/>
                <w:color w:val="403F41"/>
                <w:lang w:val="en-GB"/>
              </w:rPr>
              <w:t xml:space="preserve">Existing </w:t>
            </w:r>
          </w:p>
        </w:tc>
        <w:tc>
          <w:tcPr>
            <w:tcW w:w="1807" w:type="dxa"/>
          </w:tcPr>
          <w:p w:rsidR="00D571C0" w:rsidRPr="00267DB0" w:rsidRDefault="00D571C0" w:rsidP="00BD4396">
            <w:pPr>
              <w:pStyle w:val="Tabletext"/>
              <w:jc w:val="center"/>
              <w:rPr>
                <w:rFonts w:asciiTheme="minorHAnsi" w:hAnsiTheme="minorHAnsi" w:cstheme="minorHAnsi"/>
                <w:color w:val="403F41"/>
                <w:lang w:val="en-GB"/>
              </w:rPr>
            </w:pPr>
            <w:r w:rsidRPr="00267DB0">
              <w:rPr>
                <w:rFonts w:asciiTheme="minorHAnsi" w:hAnsiTheme="minorHAnsi" w:cstheme="minorHAnsi"/>
                <w:color w:val="403F41"/>
                <w:lang w:val="en-GB"/>
              </w:rPr>
              <w:t>4,570</w:t>
            </w:r>
          </w:p>
        </w:tc>
        <w:tc>
          <w:tcPr>
            <w:tcW w:w="1878" w:type="dxa"/>
          </w:tcPr>
          <w:p w:rsidR="00D571C0" w:rsidRPr="00267DB0" w:rsidRDefault="00D571C0" w:rsidP="00BD4396">
            <w:pPr>
              <w:pStyle w:val="Tabletext"/>
              <w:jc w:val="center"/>
              <w:rPr>
                <w:rFonts w:asciiTheme="minorHAnsi" w:hAnsiTheme="minorHAnsi" w:cstheme="minorHAnsi"/>
                <w:color w:val="403F41"/>
                <w:lang w:val="en-GB"/>
              </w:rPr>
            </w:pPr>
            <w:r w:rsidRPr="00267DB0">
              <w:rPr>
                <w:rFonts w:asciiTheme="minorHAnsi" w:hAnsiTheme="minorHAnsi" w:cstheme="minorHAnsi"/>
                <w:color w:val="403F41"/>
                <w:lang w:val="en-GB"/>
              </w:rPr>
              <w:t>59.31%</w:t>
            </w:r>
          </w:p>
        </w:tc>
        <w:tc>
          <w:tcPr>
            <w:tcW w:w="1736" w:type="dxa"/>
          </w:tcPr>
          <w:p w:rsidR="00D571C0" w:rsidRPr="00267DB0" w:rsidRDefault="00D571C0" w:rsidP="00BD4396">
            <w:pPr>
              <w:pStyle w:val="Tabletext"/>
              <w:jc w:val="center"/>
              <w:rPr>
                <w:rFonts w:asciiTheme="minorHAnsi" w:hAnsiTheme="minorHAnsi" w:cstheme="minorHAnsi"/>
                <w:color w:val="403F41"/>
                <w:lang w:val="en-GB"/>
              </w:rPr>
            </w:pPr>
            <w:r w:rsidRPr="00267DB0">
              <w:rPr>
                <w:rFonts w:asciiTheme="minorHAnsi" w:hAnsiTheme="minorHAnsi" w:cstheme="minorHAnsi"/>
                <w:color w:val="403F41"/>
                <w:lang w:val="en-GB"/>
              </w:rPr>
              <w:t>5,501</w:t>
            </w:r>
          </w:p>
        </w:tc>
        <w:tc>
          <w:tcPr>
            <w:tcW w:w="1808" w:type="dxa"/>
          </w:tcPr>
          <w:p w:rsidR="00D571C0" w:rsidRPr="00267DB0" w:rsidRDefault="00D571C0" w:rsidP="00BD4396">
            <w:pPr>
              <w:pStyle w:val="Tabletext"/>
              <w:jc w:val="center"/>
              <w:rPr>
                <w:rFonts w:asciiTheme="minorHAnsi" w:hAnsiTheme="minorHAnsi" w:cstheme="minorHAnsi"/>
                <w:color w:val="403F41"/>
                <w:lang w:val="en-GB"/>
              </w:rPr>
            </w:pPr>
            <w:r w:rsidRPr="00267DB0">
              <w:rPr>
                <w:rFonts w:asciiTheme="minorHAnsi" w:hAnsiTheme="minorHAnsi" w:cstheme="minorHAnsi"/>
                <w:color w:val="403F41"/>
                <w:lang w:val="en-GB"/>
              </w:rPr>
              <w:t>67.77%</w:t>
            </w:r>
          </w:p>
        </w:tc>
      </w:tr>
      <w:tr w:rsidR="00B60977" w:rsidRPr="00267DB0" w:rsidTr="00D95663">
        <w:trPr>
          <w:cantSplit/>
          <w:trHeight w:val="108"/>
        </w:trPr>
        <w:tc>
          <w:tcPr>
            <w:tcW w:w="2660" w:type="dxa"/>
          </w:tcPr>
          <w:p w:rsidR="00D571C0" w:rsidRPr="00267DB0" w:rsidRDefault="00D571C0" w:rsidP="00B60977">
            <w:pPr>
              <w:pStyle w:val="Tabletext"/>
              <w:rPr>
                <w:rFonts w:asciiTheme="minorHAnsi" w:hAnsiTheme="minorHAnsi" w:cstheme="minorHAnsi"/>
                <w:color w:val="403F41"/>
                <w:lang w:val="en-GB"/>
              </w:rPr>
            </w:pPr>
            <w:r w:rsidRPr="00267DB0">
              <w:rPr>
                <w:rFonts w:asciiTheme="minorHAnsi" w:hAnsiTheme="minorHAnsi" w:cstheme="minorHAnsi"/>
                <w:color w:val="403F41"/>
                <w:lang w:val="en-GB"/>
              </w:rPr>
              <w:t xml:space="preserve">New / Refurbished </w:t>
            </w:r>
          </w:p>
        </w:tc>
        <w:tc>
          <w:tcPr>
            <w:tcW w:w="1807" w:type="dxa"/>
          </w:tcPr>
          <w:p w:rsidR="00D571C0" w:rsidRPr="00267DB0" w:rsidRDefault="00D571C0" w:rsidP="00BD4396">
            <w:pPr>
              <w:pStyle w:val="Tabletext"/>
              <w:jc w:val="center"/>
              <w:rPr>
                <w:rFonts w:asciiTheme="minorHAnsi" w:hAnsiTheme="minorHAnsi" w:cstheme="minorHAnsi"/>
                <w:color w:val="403F41"/>
                <w:lang w:val="en-GB"/>
              </w:rPr>
            </w:pPr>
            <w:r w:rsidRPr="00267DB0">
              <w:rPr>
                <w:rFonts w:asciiTheme="minorHAnsi" w:hAnsiTheme="minorHAnsi" w:cstheme="minorHAnsi"/>
                <w:color w:val="403F41"/>
                <w:lang w:val="en-GB"/>
              </w:rPr>
              <w:t>3,135</w:t>
            </w:r>
          </w:p>
        </w:tc>
        <w:tc>
          <w:tcPr>
            <w:tcW w:w="1878" w:type="dxa"/>
          </w:tcPr>
          <w:p w:rsidR="00D571C0" w:rsidRPr="00267DB0" w:rsidRDefault="00D571C0" w:rsidP="00BD4396">
            <w:pPr>
              <w:pStyle w:val="Tabletext"/>
              <w:jc w:val="center"/>
              <w:rPr>
                <w:rFonts w:asciiTheme="minorHAnsi" w:hAnsiTheme="minorHAnsi" w:cstheme="minorHAnsi"/>
                <w:color w:val="403F41"/>
                <w:lang w:val="en-GB"/>
              </w:rPr>
            </w:pPr>
            <w:r w:rsidRPr="00267DB0">
              <w:rPr>
                <w:rFonts w:asciiTheme="minorHAnsi" w:hAnsiTheme="minorHAnsi" w:cstheme="minorHAnsi"/>
                <w:color w:val="403F41"/>
                <w:lang w:val="en-GB"/>
              </w:rPr>
              <w:t>40.69%</w:t>
            </w:r>
          </w:p>
        </w:tc>
        <w:tc>
          <w:tcPr>
            <w:tcW w:w="1736" w:type="dxa"/>
          </w:tcPr>
          <w:p w:rsidR="00D571C0" w:rsidRPr="00267DB0" w:rsidRDefault="00D571C0" w:rsidP="00BD4396">
            <w:pPr>
              <w:pStyle w:val="Tabletext"/>
              <w:jc w:val="center"/>
              <w:rPr>
                <w:rFonts w:asciiTheme="minorHAnsi" w:hAnsiTheme="minorHAnsi" w:cstheme="minorHAnsi"/>
                <w:color w:val="403F41"/>
                <w:lang w:val="en-GB"/>
              </w:rPr>
            </w:pPr>
            <w:r w:rsidRPr="00267DB0">
              <w:rPr>
                <w:rFonts w:asciiTheme="minorHAnsi" w:hAnsiTheme="minorHAnsi" w:cstheme="minorHAnsi"/>
                <w:color w:val="403F41"/>
                <w:lang w:val="en-GB"/>
              </w:rPr>
              <w:t>2,616</w:t>
            </w:r>
          </w:p>
        </w:tc>
        <w:tc>
          <w:tcPr>
            <w:tcW w:w="1808" w:type="dxa"/>
          </w:tcPr>
          <w:p w:rsidR="00D571C0" w:rsidRPr="00267DB0" w:rsidRDefault="00D571C0" w:rsidP="00BD4396">
            <w:pPr>
              <w:pStyle w:val="Tabletext"/>
              <w:jc w:val="center"/>
              <w:rPr>
                <w:rFonts w:asciiTheme="minorHAnsi" w:hAnsiTheme="minorHAnsi" w:cstheme="minorHAnsi"/>
                <w:color w:val="403F41"/>
                <w:lang w:val="en-GB"/>
              </w:rPr>
            </w:pPr>
            <w:r w:rsidRPr="00267DB0">
              <w:rPr>
                <w:rFonts w:asciiTheme="minorHAnsi" w:hAnsiTheme="minorHAnsi" w:cstheme="minorHAnsi"/>
                <w:color w:val="403F41"/>
                <w:lang w:val="en-GB"/>
              </w:rPr>
              <w:t>32.23%</w:t>
            </w:r>
          </w:p>
        </w:tc>
      </w:tr>
    </w:tbl>
    <w:p w:rsidR="00D571C0" w:rsidRPr="00267DB0" w:rsidRDefault="00D571C0" w:rsidP="00D571C0">
      <w:pPr>
        <w:pStyle w:val="BodyText1"/>
        <w:rPr>
          <w:rFonts w:asciiTheme="minorHAnsi" w:hAnsiTheme="minorHAnsi" w:cstheme="minorHAnsi"/>
        </w:rPr>
      </w:pPr>
      <w:r w:rsidRPr="00267DB0">
        <w:rPr>
          <w:rFonts w:asciiTheme="minorHAnsi" w:hAnsiTheme="minorHAnsi" w:cstheme="minorHAnsi"/>
        </w:rPr>
        <w:t>In the above figures the percentage of Existing Rooms approved over the last 2 years has increased by 8.46%, whereas the percentages for New/Refurbished Rooms over the last 2 years have decreased by 8.46%. The reduced level of investment in new facilities is symptomatic of the level of uncertainty in the industry and also a reflection of the tough economic times being faced by many Aged Care Providers. It would appear that investment plans, even at the top end of the Residential Aged Care market, are being deferred, with more investment being allocated to Existing Facilities and extending the economic and productive life of the asset. This concern is highlighted by bodies such as the Aged Care Financing Authority and StewartBrown Chartered Accountants. There is a real need for new investments to come online to replace ageing stock as many older style facilities may not be viable or sustainable over the next 3-5 years.</w:t>
      </w:r>
    </w:p>
    <w:p w:rsidR="00D571C0" w:rsidRPr="00267DB0" w:rsidRDefault="00D571C0" w:rsidP="00D571C0">
      <w:pPr>
        <w:pStyle w:val="H3"/>
        <w:rPr>
          <w:rFonts w:asciiTheme="minorHAnsi" w:hAnsiTheme="minorHAnsi" w:cstheme="minorHAnsi"/>
        </w:rPr>
      </w:pPr>
      <w:r w:rsidRPr="00267DB0">
        <w:rPr>
          <w:rFonts w:asciiTheme="minorHAnsi" w:hAnsiTheme="minorHAnsi" w:cstheme="minorHAnsi"/>
        </w:rPr>
        <w:t>Reframed and Withdrawn Applications</w:t>
      </w:r>
    </w:p>
    <w:tbl>
      <w:tblPr>
        <w:tblW w:w="0" w:type="auto"/>
        <w:tblInd w:w="-108"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620" w:firstRow="1" w:lastRow="0" w:firstColumn="0" w:lastColumn="0" w:noHBand="1" w:noVBand="1"/>
        <w:tblCaption w:val="Reframed and Withdrawn Applications"/>
      </w:tblPr>
      <w:tblGrid>
        <w:gridCol w:w="1417"/>
        <w:gridCol w:w="1417"/>
        <w:gridCol w:w="1417"/>
      </w:tblGrid>
      <w:tr w:rsidR="00D571C0" w:rsidRPr="00267DB0" w:rsidTr="00D82E0F">
        <w:trPr>
          <w:trHeight w:val="118"/>
        </w:trPr>
        <w:tc>
          <w:tcPr>
            <w:tcW w:w="1417" w:type="dxa"/>
            <w:shd w:val="clear" w:color="auto" w:fill="0097AB"/>
          </w:tcPr>
          <w:p w:rsidR="00D571C0" w:rsidRPr="00D82E0F" w:rsidRDefault="00D571C0" w:rsidP="00B60977">
            <w:pPr>
              <w:pStyle w:val="Tabletext"/>
              <w:rPr>
                <w:rFonts w:asciiTheme="minorHAnsi" w:hAnsiTheme="minorHAnsi" w:cstheme="minorHAnsi"/>
                <w:b/>
                <w:bCs/>
                <w:color w:val="FFFFFF" w:themeColor="background1"/>
                <w:lang w:val="en-GB"/>
              </w:rPr>
            </w:pPr>
            <w:r w:rsidRPr="00D82E0F">
              <w:rPr>
                <w:rFonts w:asciiTheme="minorHAnsi" w:hAnsiTheme="minorHAnsi" w:cstheme="minorHAnsi"/>
                <w:b/>
                <w:bCs/>
                <w:color w:val="FFFFFF" w:themeColor="background1"/>
                <w:lang w:val="en-GB"/>
              </w:rPr>
              <w:t xml:space="preserve">Year </w:t>
            </w:r>
          </w:p>
        </w:tc>
        <w:tc>
          <w:tcPr>
            <w:tcW w:w="1417" w:type="dxa"/>
            <w:shd w:val="clear" w:color="auto" w:fill="0097AB"/>
          </w:tcPr>
          <w:p w:rsidR="00D571C0" w:rsidRPr="00D82E0F" w:rsidRDefault="00D571C0" w:rsidP="00BD4396">
            <w:pPr>
              <w:pStyle w:val="Tabletext"/>
              <w:jc w:val="center"/>
              <w:rPr>
                <w:rFonts w:asciiTheme="minorHAnsi" w:hAnsiTheme="minorHAnsi" w:cstheme="minorHAnsi"/>
                <w:b/>
                <w:bCs/>
                <w:color w:val="FFFFFF" w:themeColor="background1"/>
                <w:lang w:val="en-GB"/>
              </w:rPr>
            </w:pPr>
            <w:r w:rsidRPr="00D82E0F">
              <w:rPr>
                <w:rFonts w:asciiTheme="minorHAnsi" w:hAnsiTheme="minorHAnsi" w:cstheme="minorHAnsi"/>
                <w:b/>
                <w:bCs/>
                <w:color w:val="FFFFFF" w:themeColor="background1"/>
                <w:lang w:val="en-GB"/>
              </w:rPr>
              <w:t>Withdrawals</w:t>
            </w:r>
          </w:p>
        </w:tc>
        <w:tc>
          <w:tcPr>
            <w:tcW w:w="1417" w:type="dxa"/>
            <w:shd w:val="clear" w:color="auto" w:fill="0097AB"/>
          </w:tcPr>
          <w:p w:rsidR="00D571C0" w:rsidRPr="00D82E0F" w:rsidRDefault="00D571C0" w:rsidP="00BD4396">
            <w:pPr>
              <w:pStyle w:val="Tabletext"/>
              <w:jc w:val="center"/>
              <w:rPr>
                <w:rFonts w:asciiTheme="minorHAnsi" w:hAnsiTheme="minorHAnsi" w:cstheme="minorHAnsi"/>
                <w:b/>
                <w:bCs/>
                <w:color w:val="FFFFFF" w:themeColor="background1"/>
                <w:lang w:val="en-GB"/>
              </w:rPr>
            </w:pPr>
            <w:r w:rsidRPr="00D82E0F">
              <w:rPr>
                <w:rFonts w:asciiTheme="minorHAnsi" w:hAnsiTheme="minorHAnsi" w:cstheme="minorHAnsi"/>
                <w:b/>
                <w:bCs/>
                <w:color w:val="FFFFFF" w:themeColor="background1"/>
                <w:lang w:val="en-GB"/>
              </w:rPr>
              <w:t>Reframed</w:t>
            </w:r>
          </w:p>
        </w:tc>
      </w:tr>
      <w:tr w:rsidR="00D571C0" w:rsidRPr="00267DB0" w:rsidTr="00D571C0">
        <w:trPr>
          <w:trHeight w:val="108"/>
        </w:trPr>
        <w:tc>
          <w:tcPr>
            <w:tcW w:w="1417" w:type="dxa"/>
          </w:tcPr>
          <w:p w:rsidR="00D571C0" w:rsidRPr="00267DB0" w:rsidRDefault="00D571C0" w:rsidP="00B60977">
            <w:pPr>
              <w:pStyle w:val="Tabletext"/>
              <w:rPr>
                <w:rFonts w:asciiTheme="minorHAnsi" w:hAnsiTheme="minorHAnsi" w:cstheme="minorHAnsi"/>
                <w:color w:val="403F41"/>
                <w:lang w:val="en-GB"/>
              </w:rPr>
            </w:pPr>
            <w:r w:rsidRPr="00267DB0">
              <w:rPr>
                <w:rFonts w:asciiTheme="minorHAnsi" w:hAnsiTheme="minorHAnsi" w:cstheme="minorHAnsi"/>
                <w:color w:val="403F41"/>
                <w:lang w:val="en-GB"/>
              </w:rPr>
              <w:t xml:space="preserve">2017-2018 </w:t>
            </w:r>
          </w:p>
        </w:tc>
        <w:tc>
          <w:tcPr>
            <w:tcW w:w="1417" w:type="dxa"/>
          </w:tcPr>
          <w:p w:rsidR="00D571C0" w:rsidRPr="00267DB0" w:rsidRDefault="00D571C0" w:rsidP="00BD4396">
            <w:pPr>
              <w:pStyle w:val="Tabletext"/>
              <w:jc w:val="center"/>
              <w:rPr>
                <w:rFonts w:asciiTheme="minorHAnsi" w:hAnsiTheme="minorHAnsi" w:cstheme="minorHAnsi"/>
                <w:color w:val="403F41"/>
                <w:lang w:val="en-GB"/>
              </w:rPr>
            </w:pPr>
            <w:r w:rsidRPr="00267DB0">
              <w:rPr>
                <w:rFonts w:asciiTheme="minorHAnsi" w:hAnsiTheme="minorHAnsi" w:cstheme="minorHAnsi"/>
                <w:color w:val="403F41"/>
                <w:lang w:val="en-GB"/>
              </w:rPr>
              <w:t>12</w:t>
            </w:r>
          </w:p>
        </w:tc>
        <w:tc>
          <w:tcPr>
            <w:tcW w:w="1417" w:type="dxa"/>
          </w:tcPr>
          <w:p w:rsidR="00D571C0" w:rsidRPr="00267DB0" w:rsidRDefault="00D571C0" w:rsidP="00BD4396">
            <w:pPr>
              <w:pStyle w:val="Tabletext"/>
              <w:jc w:val="center"/>
              <w:rPr>
                <w:rFonts w:asciiTheme="minorHAnsi" w:hAnsiTheme="minorHAnsi" w:cstheme="minorHAnsi"/>
                <w:color w:val="403F41"/>
                <w:lang w:val="en-GB"/>
              </w:rPr>
            </w:pPr>
            <w:r w:rsidRPr="00267DB0">
              <w:rPr>
                <w:rFonts w:asciiTheme="minorHAnsi" w:hAnsiTheme="minorHAnsi" w:cstheme="minorHAnsi"/>
                <w:color w:val="403F41"/>
                <w:lang w:val="en-GB"/>
              </w:rPr>
              <w:t>41</w:t>
            </w:r>
          </w:p>
        </w:tc>
      </w:tr>
      <w:tr w:rsidR="00D571C0" w:rsidRPr="00267DB0" w:rsidTr="00D571C0">
        <w:trPr>
          <w:trHeight w:val="108"/>
        </w:trPr>
        <w:tc>
          <w:tcPr>
            <w:tcW w:w="1417" w:type="dxa"/>
          </w:tcPr>
          <w:p w:rsidR="00D571C0" w:rsidRPr="00267DB0" w:rsidRDefault="00D571C0" w:rsidP="00B60977">
            <w:pPr>
              <w:pStyle w:val="Tabletext"/>
              <w:rPr>
                <w:rFonts w:asciiTheme="minorHAnsi" w:hAnsiTheme="minorHAnsi" w:cstheme="minorHAnsi"/>
                <w:color w:val="403F41"/>
                <w:lang w:val="en-GB"/>
              </w:rPr>
            </w:pPr>
            <w:r w:rsidRPr="00267DB0">
              <w:rPr>
                <w:rFonts w:asciiTheme="minorHAnsi" w:hAnsiTheme="minorHAnsi" w:cstheme="minorHAnsi"/>
                <w:color w:val="403F41"/>
                <w:lang w:val="en-GB"/>
              </w:rPr>
              <w:t xml:space="preserve">2018-2019 </w:t>
            </w:r>
          </w:p>
        </w:tc>
        <w:tc>
          <w:tcPr>
            <w:tcW w:w="1417" w:type="dxa"/>
          </w:tcPr>
          <w:p w:rsidR="00D571C0" w:rsidRPr="00267DB0" w:rsidRDefault="00D571C0" w:rsidP="00BD4396">
            <w:pPr>
              <w:pStyle w:val="Tabletext"/>
              <w:jc w:val="center"/>
              <w:rPr>
                <w:rFonts w:asciiTheme="minorHAnsi" w:hAnsiTheme="minorHAnsi" w:cstheme="minorHAnsi"/>
                <w:color w:val="403F41"/>
                <w:lang w:val="en-GB"/>
              </w:rPr>
            </w:pPr>
            <w:r w:rsidRPr="00267DB0">
              <w:rPr>
                <w:rFonts w:asciiTheme="minorHAnsi" w:hAnsiTheme="minorHAnsi" w:cstheme="minorHAnsi"/>
                <w:color w:val="403F41"/>
                <w:lang w:val="en-GB"/>
              </w:rPr>
              <w:t>58</w:t>
            </w:r>
          </w:p>
        </w:tc>
        <w:tc>
          <w:tcPr>
            <w:tcW w:w="1417" w:type="dxa"/>
          </w:tcPr>
          <w:p w:rsidR="00D571C0" w:rsidRPr="00267DB0" w:rsidRDefault="00D571C0" w:rsidP="00BD4396">
            <w:pPr>
              <w:pStyle w:val="Tabletext"/>
              <w:jc w:val="center"/>
              <w:rPr>
                <w:rFonts w:asciiTheme="minorHAnsi" w:hAnsiTheme="minorHAnsi" w:cstheme="minorHAnsi"/>
                <w:color w:val="403F41"/>
                <w:lang w:val="en-GB"/>
              </w:rPr>
            </w:pPr>
            <w:r w:rsidRPr="00267DB0">
              <w:rPr>
                <w:rFonts w:asciiTheme="minorHAnsi" w:hAnsiTheme="minorHAnsi" w:cstheme="minorHAnsi"/>
                <w:color w:val="403F41"/>
                <w:lang w:val="en-GB"/>
              </w:rPr>
              <w:t>48</w:t>
            </w:r>
          </w:p>
        </w:tc>
      </w:tr>
    </w:tbl>
    <w:p w:rsidR="00D571C0" w:rsidRPr="00267DB0" w:rsidRDefault="00D571C0" w:rsidP="00D571C0">
      <w:pPr>
        <w:pStyle w:val="BodyText1"/>
        <w:rPr>
          <w:rFonts w:asciiTheme="minorHAnsi" w:hAnsiTheme="minorHAnsi" w:cstheme="minorHAnsi"/>
        </w:rPr>
      </w:pPr>
      <w:r w:rsidRPr="00267DB0">
        <w:rPr>
          <w:rFonts w:asciiTheme="minorHAnsi" w:hAnsiTheme="minorHAnsi" w:cstheme="minorHAnsi"/>
        </w:rPr>
        <w:t xml:space="preserve">In the case of Withdrawals and Reframed applications the majority were associated with New Applications as opposed to Renewals. </w:t>
      </w:r>
    </w:p>
    <w:p w:rsidR="00D571C0" w:rsidRPr="00267DB0" w:rsidRDefault="00D571C0" w:rsidP="00D571C0">
      <w:pPr>
        <w:pStyle w:val="BodyText1"/>
        <w:rPr>
          <w:rFonts w:asciiTheme="minorHAnsi" w:hAnsiTheme="minorHAnsi" w:cstheme="minorHAnsi"/>
        </w:rPr>
      </w:pPr>
      <w:r w:rsidRPr="00267DB0">
        <w:rPr>
          <w:rFonts w:asciiTheme="minorHAnsi" w:hAnsiTheme="minorHAnsi" w:cstheme="minorHAnsi"/>
        </w:rPr>
        <w:t xml:space="preserve">The main reasons for Withdrawals and Reframing relate to revision of pricing, change of accommodation groups/allocation, inadequate or incorrect information, poor pricing rationale and failing to explain different price points between accommodation groups. </w:t>
      </w:r>
    </w:p>
    <w:p w:rsidR="00D571C0" w:rsidRPr="00BD4396" w:rsidRDefault="00D571C0" w:rsidP="00BD4396">
      <w:pPr>
        <w:pStyle w:val="H3"/>
      </w:pPr>
      <w:r w:rsidRPr="00267DB0">
        <w:t xml:space="preserve">Turnaround Times </w:t>
      </w:r>
    </w:p>
    <w:p w:rsidR="00D571C0" w:rsidRPr="00267DB0" w:rsidRDefault="00D571C0" w:rsidP="00D571C0">
      <w:pPr>
        <w:pStyle w:val="BodyText1"/>
        <w:rPr>
          <w:rFonts w:asciiTheme="minorHAnsi" w:hAnsiTheme="minorHAnsi" w:cstheme="minorHAnsi"/>
          <w:lang w:val="en-GB"/>
        </w:rPr>
      </w:pPr>
      <w:r w:rsidRPr="00267DB0">
        <w:rPr>
          <w:rFonts w:asciiTheme="minorHAnsi" w:hAnsiTheme="minorHAnsi" w:cstheme="minorHAnsi"/>
          <w:lang w:val="en-GB"/>
        </w:rPr>
        <w:t xml:space="preserve">In terms of turnaround time, the average number of days to process an application (both New Applications and Renewals) was: </w:t>
      </w:r>
    </w:p>
    <w:p w:rsidR="00D571C0" w:rsidRPr="00267DB0" w:rsidRDefault="00D571C0" w:rsidP="00D571C0">
      <w:pPr>
        <w:pStyle w:val="Bulletlist"/>
        <w:rPr>
          <w:rFonts w:asciiTheme="minorHAnsi" w:hAnsiTheme="minorHAnsi" w:cstheme="minorHAnsi"/>
          <w:lang w:val="en-GB"/>
        </w:rPr>
      </w:pPr>
      <w:r w:rsidRPr="00267DB0">
        <w:rPr>
          <w:rFonts w:asciiTheme="minorHAnsi" w:hAnsiTheme="minorHAnsi" w:cstheme="minorHAnsi"/>
          <w:lang w:val="en-GB"/>
        </w:rPr>
        <w:t xml:space="preserve">In 2017/18: 31 days; and </w:t>
      </w:r>
    </w:p>
    <w:p w:rsidR="00D571C0" w:rsidRPr="00267DB0" w:rsidRDefault="00D571C0" w:rsidP="00D571C0">
      <w:pPr>
        <w:pStyle w:val="Bulletlist"/>
        <w:rPr>
          <w:rFonts w:asciiTheme="minorHAnsi" w:hAnsiTheme="minorHAnsi" w:cstheme="minorHAnsi"/>
          <w:lang w:val="en-GB"/>
        </w:rPr>
      </w:pPr>
      <w:r w:rsidRPr="00267DB0">
        <w:rPr>
          <w:rFonts w:asciiTheme="minorHAnsi" w:hAnsiTheme="minorHAnsi" w:cstheme="minorHAnsi"/>
          <w:lang w:val="en-GB"/>
        </w:rPr>
        <w:t xml:space="preserve">In 2018/19: 33 days. </w:t>
      </w:r>
    </w:p>
    <w:p w:rsidR="00D95663" w:rsidRPr="00267DB0" w:rsidRDefault="00D571C0" w:rsidP="00D571C0">
      <w:pPr>
        <w:pStyle w:val="BodyText1"/>
        <w:rPr>
          <w:rFonts w:asciiTheme="minorHAnsi" w:hAnsiTheme="minorHAnsi" w:cstheme="minorHAnsi"/>
          <w:lang w:val="en-GB"/>
        </w:rPr>
      </w:pPr>
      <w:r w:rsidRPr="00267DB0">
        <w:rPr>
          <w:rFonts w:asciiTheme="minorHAnsi" w:hAnsiTheme="minorHAnsi" w:cstheme="minorHAnsi"/>
          <w:lang w:val="en-GB"/>
        </w:rPr>
        <w:t>The assessment process continues to be completed well within the statutory timeframe of 60 days.</w:t>
      </w:r>
    </w:p>
    <w:p w:rsidR="00267DB0" w:rsidRPr="00267DB0" w:rsidRDefault="00267DB0">
      <w:pPr>
        <w:rPr>
          <w:rFonts w:cstheme="minorHAnsi"/>
          <w:b/>
          <w:sz w:val="40"/>
          <w:szCs w:val="32"/>
        </w:rPr>
      </w:pPr>
      <w:r w:rsidRPr="00267DB0">
        <w:rPr>
          <w:rFonts w:cstheme="minorHAnsi"/>
        </w:rPr>
        <w:br w:type="page"/>
      </w:r>
    </w:p>
    <w:p w:rsidR="005C61B5" w:rsidRPr="00267DB0" w:rsidRDefault="000652D5" w:rsidP="00D95663">
      <w:pPr>
        <w:pStyle w:val="H1"/>
        <w:jc w:val="left"/>
        <w:rPr>
          <w:rFonts w:asciiTheme="minorHAnsi" w:hAnsiTheme="minorHAnsi" w:cstheme="minorHAnsi"/>
        </w:rPr>
      </w:pPr>
      <w:r w:rsidRPr="00267DB0">
        <w:rPr>
          <w:rFonts w:asciiTheme="minorHAnsi" w:hAnsiTheme="minorHAnsi" w:cstheme="minorHAnsi"/>
        </w:rPr>
        <w:lastRenderedPageBreak/>
        <w:t>Functions of the Office of The Aged Care Pricing Commissioner</w:t>
      </w:r>
    </w:p>
    <w:p w:rsidR="00D95663" w:rsidRPr="00267DB0" w:rsidRDefault="00D95663" w:rsidP="00D95663">
      <w:pPr>
        <w:pStyle w:val="BodyText1"/>
        <w:rPr>
          <w:rStyle w:val="A8"/>
          <w:rFonts w:asciiTheme="minorHAnsi" w:hAnsiTheme="minorHAnsi" w:cstheme="minorHAnsi"/>
          <w:b w:val="0"/>
          <w:bCs w:val="0"/>
          <w:color w:val="auto"/>
          <w:sz w:val="20"/>
          <w:szCs w:val="20"/>
        </w:rPr>
      </w:pPr>
      <w:r w:rsidRPr="00267DB0">
        <w:rPr>
          <w:rStyle w:val="A8"/>
          <w:rFonts w:asciiTheme="minorHAnsi" w:hAnsiTheme="minorHAnsi" w:cstheme="minorHAnsi"/>
          <w:b w:val="0"/>
          <w:bCs w:val="0"/>
          <w:color w:val="auto"/>
          <w:sz w:val="20"/>
          <w:szCs w:val="20"/>
        </w:rPr>
        <w:t>The functions of the Aged Care Pricing Commissioner include the review and approval of proposed Refundable Accommodation Deposits that are higher than the maximum amount of $550,000 as determined by the Minister, and the review and determination of Extra Service Fee applications.</w:t>
      </w:r>
    </w:p>
    <w:p w:rsidR="00D95663" w:rsidRPr="00267DB0" w:rsidRDefault="00D95663" w:rsidP="00D95663">
      <w:pPr>
        <w:pStyle w:val="H2"/>
        <w:rPr>
          <w:rFonts w:asciiTheme="minorHAnsi" w:hAnsiTheme="minorHAnsi" w:cstheme="minorHAnsi"/>
        </w:rPr>
      </w:pPr>
      <w:r w:rsidRPr="00267DB0">
        <w:rPr>
          <w:rFonts w:asciiTheme="minorHAnsi" w:hAnsiTheme="minorHAnsi" w:cstheme="minorHAnsi"/>
        </w:rPr>
        <w:t xml:space="preserve">Aged Care Pricing Commissioner Operations 2018/19 </w:t>
      </w:r>
    </w:p>
    <w:p w:rsidR="00D95663" w:rsidRPr="00267DB0" w:rsidRDefault="00D95663" w:rsidP="00D95663">
      <w:pPr>
        <w:pStyle w:val="H3"/>
        <w:rPr>
          <w:rFonts w:asciiTheme="minorHAnsi" w:hAnsiTheme="minorHAnsi" w:cstheme="minorHAnsi"/>
        </w:rPr>
      </w:pPr>
      <w:r w:rsidRPr="00267DB0">
        <w:rPr>
          <w:rFonts w:asciiTheme="minorHAnsi" w:hAnsiTheme="minorHAnsi" w:cstheme="minorHAnsi"/>
        </w:rPr>
        <w:t xml:space="preserve">Approved room price ranges </w:t>
      </w:r>
    </w:p>
    <w:tbl>
      <w:tblPr>
        <w:tblW w:w="0" w:type="auto"/>
        <w:tblInd w:w="-108"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600" w:firstRow="0" w:lastRow="0" w:firstColumn="0" w:lastColumn="0" w:noHBand="1" w:noVBand="1"/>
        <w:tblCaption w:val="Approved room price ranges "/>
      </w:tblPr>
      <w:tblGrid>
        <w:gridCol w:w="2515"/>
        <w:gridCol w:w="1253"/>
        <w:gridCol w:w="1253"/>
        <w:gridCol w:w="1253"/>
        <w:gridCol w:w="1253"/>
        <w:gridCol w:w="1253"/>
        <w:gridCol w:w="1257"/>
      </w:tblGrid>
      <w:tr w:rsidR="00B60977" w:rsidRPr="00267DB0" w:rsidTr="00D82E0F">
        <w:trPr>
          <w:trHeight w:val="118"/>
        </w:trPr>
        <w:tc>
          <w:tcPr>
            <w:tcW w:w="10034" w:type="dxa"/>
            <w:gridSpan w:val="7"/>
            <w:shd w:val="clear" w:color="auto" w:fill="0097AB"/>
          </w:tcPr>
          <w:p w:rsidR="00D95663" w:rsidRPr="00267DB0" w:rsidRDefault="00D95663" w:rsidP="00B60977">
            <w:pPr>
              <w:pStyle w:val="Tabletext"/>
              <w:rPr>
                <w:rFonts w:asciiTheme="minorHAnsi" w:hAnsiTheme="minorHAnsi" w:cstheme="minorHAnsi"/>
                <w:b/>
                <w:bCs/>
                <w:lang w:val="en-GB"/>
              </w:rPr>
            </w:pPr>
            <w:r w:rsidRPr="00D82E0F">
              <w:rPr>
                <w:rFonts w:asciiTheme="minorHAnsi" w:hAnsiTheme="minorHAnsi" w:cstheme="minorHAnsi"/>
                <w:b/>
                <w:bCs/>
                <w:color w:val="FFFFFF" w:themeColor="background1"/>
                <w:lang w:val="en-GB"/>
              </w:rPr>
              <w:t xml:space="preserve">Rooms approved by number and percent (%) </w:t>
            </w:r>
          </w:p>
        </w:tc>
      </w:tr>
      <w:tr w:rsidR="00D95663" w:rsidRPr="00267DB0" w:rsidTr="00D82E0F">
        <w:trPr>
          <w:trHeight w:val="117"/>
        </w:trPr>
        <w:tc>
          <w:tcPr>
            <w:tcW w:w="2515" w:type="dxa"/>
            <w:vMerge w:val="restart"/>
            <w:shd w:val="clear" w:color="auto" w:fill="E5FFFA"/>
          </w:tcPr>
          <w:p w:rsidR="00D95663" w:rsidRPr="00267DB0" w:rsidRDefault="00D95663" w:rsidP="00B60977">
            <w:pPr>
              <w:pStyle w:val="Tabletext"/>
              <w:rPr>
                <w:rFonts w:asciiTheme="minorHAnsi" w:hAnsiTheme="minorHAnsi" w:cstheme="minorHAnsi"/>
                <w:b/>
                <w:bCs/>
                <w:lang w:val="en-GB"/>
              </w:rPr>
            </w:pPr>
            <w:r w:rsidRPr="00267DB0">
              <w:rPr>
                <w:rFonts w:asciiTheme="minorHAnsi" w:hAnsiTheme="minorHAnsi" w:cstheme="minorHAnsi"/>
                <w:b/>
                <w:bCs/>
                <w:lang w:val="en-GB"/>
              </w:rPr>
              <w:t xml:space="preserve">Price Range </w:t>
            </w:r>
          </w:p>
        </w:tc>
        <w:tc>
          <w:tcPr>
            <w:tcW w:w="2504" w:type="dxa"/>
            <w:gridSpan w:val="2"/>
            <w:shd w:val="clear" w:color="auto" w:fill="E5FFFA"/>
          </w:tcPr>
          <w:p w:rsidR="00D95663" w:rsidRPr="00267DB0" w:rsidRDefault="00D95663" w:rsidP="00B60977">
            <w:pPr>
              <w:pStyle w:val="Tabletext"/>
              <w:jc w:val="center"/>
              <w:rPr>
                <w:rFonts w:asciiTheme="minorHAnsi" w:hAnsiTheme="minorHAnsi" w:cstheme="minorHAnsi"/>
                <w:b/>
                <w:bCs/>
                <w:lang w:val="en-GB"/>
              </w:rPr>
            </w:pPr>
            <w:r w:rsidRPr="00267DB0">
              <w:rPr>
                <w:rFonts w:asciiTheme="minorHAnsi" w:hAnsiTheme="minorHAnsi" w:cstheme="minorHAnsi"/>
                <w:b/>
                <w:bCs/>
                <w:lang w:val="en-GB"/>
              </w:rPr>
              <w:t>2016-2017</w:t>
            </w:r>
          </w:p>
        </w:tc>
        <w:tc>
          <w:tcPr>
            <w:tcW w:w="2505" w:type="dxa"/>
            <w:gridSpan w:val="2"/>
            <w:shd w:val="clear" w:color="auto" w:fill="E5FFFA"/>
          </w:tcPr>
          <w:p w:rsidR="00D95663" w:rsidRPr="00267DB0" w:rsidRDefault="00D95663" w:rsidP="00B60977">
            <w:pPr>
              <w:pStyle w:val="Tabletext"/>
              <w:jc w:val="center"/>
              <w:rPr>
                <w:rFonts w:asciiTheme="minorHAnsi" w:hAnsiTheme="minorHAnsi" w:cstheme="minorHAnsi"/>
                <w:b/>
                <w:bCs/>
                <w:lang w:val="en-GB"/>
              </w:rPr>
            </w:pPr>
            <w:r w:rsidRPr="00267DB0">
              <w:rPr>
                <w:rFonts w:asciiTheme="minorHAnsi" w:hAnsiTheme="minorHAnsi" w:cstheme="minorHAnsi"/>
                <w:b/>
                <w:bCs/>
                <w:lang w:val="en-GB"/>
              </w:rPr>
              <w:t>2017-2018</w:t>
            </w:r>
          </w:p>
        </w:tc>
        <w:tc>
          <w:tcPr>
            <w:tcW w:w="2510" w:type="dxa"/>
            <w:gridSpan w:val="2"/>
            <w:shd w:val="clear" w:color="auto" w:fill="E5FFFA"/>
          </w:tcPr>
          <w:p w:rsidR="00D95663" w:rsidRPr="00267DB0" w:rsidRDefault="00D95663" w:rsidP="00B60977">
            <w:pPr>
              <w:pStyle w:val="Tabletext"/>
              <w:jc w:val="center"/>
              <w:rPr>
                <w:rFonts w:asciiTheme="minorHAnsi" w:hAnsiTheme="minorHAnsi" w:cstheme="minorHAnsi"/>
                <w:b/>
                <w:bCs/>
                <w:lang w:val="en-GB"/>
              </w:rPr>
            </w:pPr>
            <w:r w:rsidRPr="00267DB0">
              <w:rPr>
                <w:rFonts w:asciiTheme="minorHAnsi" w:hAnsiTheme="minorHAnsi" w:cstheme="minorHAnsi"/>
                <w:b/>
                <w:bCs/>
                <w:lang w:val="en-GB"/>
              </w:rPr>
              <w:t>2018-2019</w:t>
            </w:r>
          </w:p>
        </w:tc>
      </w:tr>
      <w:tr w:rsidR="00D82E0F" w:rsidRPr="00267DB0" w:rsidTr="00D82E0F">
        <w:trPr>
          <w:trHeight w:val="117"/>
        </w:trPr>
        <w:tc>
          <w:tcPr>
            <w:tcW w:w="2515" w:type="dxa"/>
            <w:vMerge/>
            <w:shd w:val="clear" w:color="auto" w:fill="E5FFFA"/>
          </w:tcPr>
          <w:p w:rsidR="00D95663" w:rsidRPr="00267DB0" w:rsidRDefault="00D95663" w:rsidP="00B60977">
            <w:pPr>
              <w:pStyle w:val="Tabletext"/>
              <w:rPr>
                <w:rFonts w:asciiTheme="minorHAnsi" w:hAnsiTheme="minorHAnsi" w:cstheme="minorHAnsi"/>
                <w:lang w:val="en-GB"/>
              </w:rPr>
            </w:pPr>
          </w:p>
        </w:tc>
        <w:tc>
          <w:tcPr>
            <w:tcW w:w="1253" w:type="dxa"/>
            <w:shd w:val="clear" w:color="auto" w:fill="E5FFFA"/>
          </w:tcPr>
          <w:p w:rsidR="00D95663" w:rsidRPr="00267DB0" w:rsidRDefault="00D95663" w:rsidP="00B60977">
            <w:pPr>
              <w:pStyle w:val="Tabletext"/>
              <w:jc w:val="right"/>
              <w:rPr>
                <w:rFonts w:asciiTheme="minorHAnsi" w:hAnsiTheme="minorHAnsi" w:cstheme="minorHAnsi"/>
                <w:b/>
                <w:bCs/>
                <w:lang w:val="en-GB"/>
              </w:rPr>
            </w:pPr>
            <w:r w:rsidRPr="00267DB0">
              <w:rPr>
                <w:rFonts w:asciiTheme="minorHAnsi" w:hAnsiTheme="minorHAnsi" w:cstheme="minorHAnsi"/>
                <w:b/>
                <w:bCs/>
                <w:lang w:val="en-GB"/>
              </w:rPr>
              <w:t xml:space="preserve">No. </w:t>
            </w:r>
          </w:p>
        </w:tc>
        <w:tc>
          <w:tcPr>
            <w:tcW w:w="1253" w:type="dxa"/>
            <w:shd w:val="clear" w:color="auto" w:fill="E5FFFA"/>
          </w:tcPr>
          <w:p w:rsidR="00D95663" w:rsidRPr="00267DB0" w:rsidRDefault="00D95663" w:rsidP="00B60977">
            <w:pPr>
              <w:pStyle w:val="Tabletext"/>
              <w:jc w:val="right"/>
              <w:rPr>
                <w:rFonts w:asciiTheme="minorHAnsi" w:hAnsiTheme="minorHAnsi" w:cstheme="minorHAnsi"/>
                <w:b/>
                <w:bCs/>
                <w:lang w:val="en-GB"/>
              </w:rPr>
            </w:pPr>
            <w:r w:rsidRPr="00267DB0">
              <w:rPr>
                <w:rFonts w:asciiTheme="minorHAnsi" w:hAnsiTheme="minorHAnsi" w:cstheme="minorHAnsi"/>
                <w:b/>
                <w:bCs/>
                <w:lang w:val="en-GB"/>
              </w:rPr>
              <w:t xml:space="preserve">% </w:t>
            </w:r>
          </w:p>
        </w:tc>
        <w:tc>
          <w:tcPr>
            <w:tcW w:w="1253" w:type="dxa"/>
            <w:shd w:val="clear" w:color="auto" w:fill="E5FFFA"/>
          </w:tcPr>
          <w:p w:rsidR="00D95663" w:rsidRPr="00267DB0" w:rsidRDefault="00D95663" w:rsidP="00B60977">
            <w:pPr>
              <w:pStyle w:val="Tabletext"/>
              <w:jc w:val="right"/>
              <w:rPr>
                <w:rFonts w:asciiTheme="minorHAnsi" w:hAnsiTheme="minorHAnsi" w:cstheme="minorHAnsi"/>
                <w:b/>
                <w:bCs/>
                <w:lang w:val="en-GB"/>
              </w:rPr>
            </w:pPr>
            <w:r w:rsidRPr="00267DB0">
              <w:rPr>
                <w:rFonts w:asciiTheme="minorHAnsi" w:hAnsiTheme="minorHAnsi" w:cstheme="minorHAnsi"/>
                <w:b/>
                <w:bCs/>
                <w:lang w:val="en-GB"/>
              </w:rPr>
              <w:t xml:space="preserve">No. </w:t>
            </w:r>
          </w:p>
        </w:tc>
        <w:tc>
          <w:tcPr>
            <w:tcW w:w="1253" w:type="dxa"/>
            <w:shd w:val="clear" w:color="auto" w:fill="E5FFFA"/>
          </w:tcPr>
          <w:p w:rsidR="00D95663" w:rsidRPr="00267DB0" w:rsidRDefault="00D95663" w:rsidP="00B60977">
            <w:pPr>
              <w:pStyle w:val="Tabletext"/>
              <w:jc w:val="right"/>
              <w:rPr>
                <w:rFonts w:asciiTheme="minorHAnsi" w:hAnsiTheme="minorHAnsi" w:cstheme="minorHAnsi"/>
                <w:b/>
                <w:bCs/>
                <w:lang w:val="en-GB"/>
              </w:rPr>
            </w:pPr>
            <w:r w:rsidRPr="00267DB0">
              <w:rPr>
                <w:rFonts w:asciiTheme="minorHAnsi" w:hAnsiTheme="minorHAnsi" w:cstheme="minorHAnsi"/>
                <w:b/>
                <w:bCs/>
                <w:lang w:val="en-GB"/>
              </w:rPr>
              <w:t xml:space="preserve">% </w:t>
            </w:r>
          </w:p>
        </w:tc>
        <w:tc>
          <w:tcPr>
            <w:tcW w:w="1253" w:type="dxa"/>
            <w:shd w:val="clear" w:color="auto" w:fill="E5FFFA"/>
          </w:tcPr>
          <w:p w:rsidR="00D95663" w:rsidRPr="00267DB0" w:rsidRDefault="00D95663" w:rsidP="00B60977">
            <w:pPr>
              <w:pStyle w:val="Tabletext"/>
              <w:jc w:val="right"/>
              <w:rPr>
                <w:rFonts w:asciiTheme="minorHAnsi" w:hAnsiTheme="minorHAnsi" w:cstheme="minorHAnsi"/>
                <w:b/>
                <w:bCs/>
                <w:lang w:val="en-GB"/>
              </w:rPr>
            </w:pPr>
            <w:r w:rsidRPr="00267DB0">
              <w:rPr>
                <w:rFonts w:asciiTheme="minorHAnsi" w:hAnsiTheme="minorHAnsi" w:cstheme="minorHAnsi"/>
                <w:b/>
                <w:bCs/>
                <w:lang w:val="en-GB"/>
              </w:rPr>
              <w:t xml:space="preserve">No. </w:t>
            </w:r>
          </w:p>
        </w:tc>
        <w:tc>
          <w:tcPr>
            <w:tcW w:w="1254" w:type="dxa"/>
            <w:shd w:val="clear" w:color="auto" w:fill="E5FFFA"/>
          </w:tcPr>
          <w:p w:rsidR="00D95663" w:rsidRPr="00267DB0" w:rsidRDefault="00D95663" w:rsidP="00B60977">
            <w:pPr>
              <w:pStyle w:val="Tabletext"/>
              <w:jc w:val="right"/>
              <w:rPr>
                <w:rFonts w:asciiTheme="minorHAnsi" w:hAnsiTheme="minorHAnsi" w:cstheme="minorHAnsi"/>
                <w:b/>
                <w:bCs/>
                <w:lang w:val="en-GB"/>
              </w:rPr>
            </w:pPr>
            <w:r w:rsidRPr="00267DB0">
              <w:rPr>
                <w:rFonts w:asciiTheme="minorHAnsi" w:hAnsiTheme="minorHAnsi" w:cstheme="minorHAnsi"/>
                <w:b/>
                <w:bCs/>
                <w:lang w:val="en-GB"/>
              </w:rPr>
              <w:t xml:space="preserve">% </w:t>
            </w:r>
          </w:p>
        </w:tc>
      </w:tr>
      <w:tr w:rsidR="00D95663" w:rsidRPr="00267DB0" w:rsidTr="00267DB0">
        <w:trPr>
          <w:trHeight w:val="108"/>
        </w:trPr>
        <w:tc>
          <w:tcPr>
            <w:tcW w:w="2515" w:type="dxa"/>
          </w:tcPr>
          <w:p w:rsidR="00D95663" w:rsidRPr="00267DB0" w:rsidRDefault="00D95663" w:rsidP="00B60977">
            <w:pPr>
              <w:pStyle w:val="Tabletext"/>
              <w:rPr>
                <w:rFonts w:asciiTheme="minorHAnsi" w:hAnsiTheme="minorHAnsi" w:cstheme="minorHAnsi"/>
                <w:color w:val="403F41"/>
                <w:lang w:val="en-GB"/>
              </w:rPr>
            </w:pPr>
            <w:r w:rsidRPr="00267DB0">
              <w:rPr>
                <w:rFonts w:asciiTheme="minorHAnsi" w:hAnsiTheme="minorHAnsi" w:cstheme="minorHAnsi"/>
                <w:color w:val="403F41"/>
                <w:lang w:val="en-GB"/>
              </w:rPr>
              <w:t xml:space="preserve">$550,001 to $700,000 </w:t>
            </w:r>
          </w:p>
        </w:tc>
        <w:tc>
          <w:tcPr>
            <w:tcW w:w="1253"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2428 </w:t>
            </w:r>
          </w:p>
        </w:tc>
        <w:tc>
          <w:tcPr>
            <w:tcW w:w="1253"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33.7% </w:t>
            </w:r>
          </w:p>
        </w:tc>
        <w:tc>
          <w:tcPr>
            <w:tcW w:w="1253"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2479 </w:t>
            </w:r>
          </w:p>
        </w:tc>
        <w:tc>
          <w:tcPr>
            <w:tcW w:w="1253"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32.17% </w:t>
            </w:r>
          </w:p>
        </w:tc>
        <w:tc>
          <w:tcPr>
            <w:tcW w:w="1253"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3584 </w:t>
            </w:r>
          </w:p>
        </w:tc>
        <w:tc>
          <w:tcPr>
            <w:tcW w:w="1254"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44.15% </w:t>
            </w:r>
          </w:p>
        </w:tc>
      </w:tr>
      <w:tr w:rsidR="00D95663" w:rsidRPr="00267DB0" w:rsidTr="00267DB0">
        <w:trPr>
          <w:trHeight w:val="108"/>
        </w:trPr>
        <w:tc>
          <w:tcPr>
            <w:tcW w:w="2515" w:type="dxa"/>
          </w:tcPr>
          <w:p w:rsidR="00D95663" w:rsidRPr="00267DB0" w:rsidRDefault="00D95663" w:rsidP="00B60977">
            <w:pPr>
              <w:pStyle w:val="Tabletext"/>
              <w:rPr>
                <w:rFonts w:asciiTheme="minorHAnsi" w:hAnsiTheme="minorHAnsi" w:cstheme="minorHAnsi"/>
                <w:color w:val="403F41"/>
                <w:lang w:val="en-GB"/>
              </w:rPr>
            </w:pPr>
            <w:r w:rsidRPr="00267DB0">
              <w:rPr>
                <w:rFonts w:asciiTheme="minorHAnsi" w:hAnsiTheme="minorHAnsi" w:cstheme="minorHAnsi"/>
                <w:color w:val="403F41"/>
                <w:lang w:val="en-GB"/>
              </w:rPr>
              <w:t xml:space="preserve">$700,001 to $850,000 </w:t>
            </w:r>
          </w:p>
        </w:tc>
        <w:tc>
          <w:tcPr>
            <w:tcW w:w="1253"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2869 </w:t>
            </w:r>
          </w:p>
        </w:tc>
        <w:tc>
          <w:tcPr>
            <w:tcW w:w="1253"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39.82% </w:t>
            </w:r>
          </w:p>
        </w:tc>
        <w:tc>
          <w:tcPr>
            <w:tcW w:w="1253"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3070 </w:t>
            </w:r>
          </w:p>
        </w:tc>
        <w:tc>
          <w:tcPr>
            <w:tcW w:w="1253"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39.84% </w:t>
            </w:r>
          </w:p>
        </w:tc>
        <w:tc>
          <w:tcPr>
            <w:tcW w:w="1253"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2968 </w:t>
            </w:r>
          </w:p>
        </w:tc>
        <w:tc>
          <w:tcPr>
            <w:tcW w:w="1254"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36.57% </w:t>
            </w:r>
          </w:p>
        </w:tc>
      </w:tr>
      <w:tr w:rsidR="00D95663" w:rsidRPr="00267DB0" w:rsidTr="00267DB0">
        <w:trPr>
          <w:trHeight w:val="108"/>
        </w:trPr>
        <w:tc>
          <w:tcPr>
            <w:tcW w:w="2515" w:type="dxa"/>
          </w:tcPr>
          <w:p w:rsidR="00D95663" w:rsidRPr="00267DB0" w:rsidRDefault="00D95663" w:rsidP="00B60977">
            <w:pPr>
              <w:pStyle w:val="Tabletext"/>
              <w:rPr>
                <w:rFonts w:asciiTheme="minorHAnsi" w:hAnsiTheme="minorHAnsi" w:cstheme="minorHAnsi"/>
                <w:color w:val="403F41"/>
                <w:lang w:val="en-GB"/>
              </w:rPr>
            </w:pPr>
            <w:r w:rsidRPr="00267DB0">
              <w:rPr>
                <w:rFonts w:asciiTheme="minorHAnsi" w:hAnsiTheme="minorHAnsi" w:cstheme="minorHAnsi"/>
                <w:color w:val="403F41"/>
                <w:lang w:val="en-GB"/>
              </w:rPr>
              <w:t xml:space="preserve">$850,001 to $1,000,000 </w:t>
            </w:r>
          </w:p>
        </w:tc>
        <w:tc>
          <w:tcPr>
            <w:tcW w:w="1253"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1476 </w:t>
            </w:r>
          </w:p>
        </w:tc>
        <w:tc>
          <w:tcPr>
            <w:tcW w:w="1253"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20.06% </w:t>
            </w:r>
          </w:p>
        </w:tc>
        <w:tc>
          <w:tcPr>
            <w:tcW w:w="1253"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1522 </w:t>
            </w:r>
          </w:p>
        </w:tc>
        <w:tc>
          <w:tcPr>
            <w:tcW w:w="1253"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19.75% </w:t>
            </w:r>
          </w:p>
        </w:tc>
        <w:tc>
          <w:tcPr>
            <w:tcW w:w="1253"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1191 </w:t>
            </w:r>
          </w:p>
        </w:tc>
        <w:tc>
          <w:tcPr>
            <w:tcW w:w="1254"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14.67% </w:t>
            </w:r>
          </w:p>
        </w:tc>
      </w:tr>
      <w:tr w:rsidR="00D95663" w:rsidRPr="00267DB0" w:rsidTr="00267DB0">
        <w:trPr>
          <w:trHeight w:val="108"/>
        </w:trPr>
        <w:tc>
          <w:tcPr>
            <w:tcW w:w="2515" w:type="dxa"/>
          </w:tcPr>
          <w:p w:rsidR="00D95663" w:rsidRPr="00267DB0" w:rsidRDefault="00D95663" w:rsidP="00B60977">
            <w:pPr>
              <w:pStyle w:val="Tabletext"/>
              <w:rPr>
                <w:rFonts w:asciiTheme="minorHAnsi" w:hAnsiTheme="minorHAnsi" w:cstheme="minorHAnsi"/>
                <w:color w:val="403F41"/>
                <w:lang w:val="en-GB"/>
              </w:rPr>
            </w:pPr>
            <w:r w:rsidRPr="00267DB0">
              <w:rPr>
                <w:rFonts w:asciiTheme="minorHAnsi" w:hAnsiTheme="minorHAnsi" w:cstheme="minorHAnsi"/>
                <w:color w:val="403F41"/>
                <w:lang w:val="en-GB"/>
              </w:rPr>
              <w:t xml:space="preserve">$1,000,001 to $1,250,000 </w:t>
            </w:r>
          </w:p>
        </w:tc>
        <w:tc>
          <w:tcPr>
            <w:tcW w:w="1253"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324 </w:t>
            </w:r>
          </w:p>
        </w:tc>
        <w:tc>
          <w:tcPr>
            <w:tcW w:w="1253"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4.5% </w:t>
            </w:r>
          </w:p>
        </w:tc>
        <w:tc>
          <w:tcPr>
            <w:tcW w:w="1253"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502 </w:t>
            </w:r>
          </w:p>
        </w:tc>
        <w:tc>
          <w:tcPr>
            <w:tcW w:w="1253"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6.52% </w:t>
            </w:r>
          </w:p>
        </w:tc>
        <w:tc>
          <w:tcPr>
            <w:tcW w:w="1253"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189 </w:t>
            </w:r>
          </w:p>
        </w:tc>
        <w:tc>
          <w:tcPr>
            <w:tcW w:w="1254"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2.33% </w:t>
            </w:r>
          </w:p>
        </w:tc>
      </w:tr>
      <w:tr w:rsidR="00D95663" w:rsidRPr="00267DB0" w:rsidTr="00267DB0">
        <w:trPr>
          <w:trHeight w:val="108"/>
        </w:trPr>
        <w:tc>
          <w:tcPr>
            <w:tcW w:w="2515" w:type="dxa"/>
          </w:tcPr>
          <w:p w:rsidR="00D95663" w:rsidRPr="00267DB0" w:rsidRDefault="00D95663" w:rsidP="00B60977">
            <w:pPr>
              <w:pStyle w:val="Tabletext"/>
              <w:rPr>
                <w:rFonts w:asciiTheme="minorHAnsi" w:hAnsiTheme="minorHAnsi" w:cstheme="minorHAnsi"/>
                <w:color w:val="403F41"/>
                <w:lang w:val="en-GB"/>
              </w:rPr>
            </w:pPr>
            <w:r w:rsidRPr="00267DB0">
              <w:rPr>
                <w:rFonts w:asciiTheme="minorHAnsi" w:hAnsiTheme="minorHAnsi" w:cstheme="minorHAnsi"/>
                <w:color w:val="403F41"/>
                <w:lang w:val="en-GB"/>
              </w:rPr>
              <w:t xml:space="preserve">$1,250,001 to $1,500,000 </w:t>
            </w:r>
          </w:p>
        </w:tc>
        <w:tc>
          <w:tcPr>
            <w:tcW w:w="1253"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32 </w:t>
            </w:r>
          </w:p>
        </w:tc>
        <w:tc>
          <w:tcPr>
            <w:tcW w:w="1253"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0.44% </w:t>
            </w:r>
          </w:p>
        </w:tc>
        <w:tc>
          <w:tcPr>
            <w:tcW w:w="1253"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40 </w:t>
            </w:r>
          </w:p>
        </w:tc>
        <w:tc>
          <w:tcPr>
            <w:tcW w:w="1253"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0.52% </w:t>
            </w:r>
          </w:p>
        </w:tc>
        <w:tc>
          <w:tcPr>
            <w:tcW w:w="1253"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94 </w:t>
            </w:r>
          </w:p>
        </w:tc>
        <w:tc>
          <w:tcPr>
            <w:tcW w:w="1254"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1.16% </w:t>
            </w:r>
          </w:p>
        </w:tc>
      </w:tr>
      <w:tr w:rsidR="00D95663" w:rsidRPr="00267DB0" w:rsidTr="00267DB0">
        <w:trPr>
          <w:trHeight w:val="108"/>
        </w:trPr>
        <w:tc>
          <w:tcPr>
            <w:tcW w:w="2515" w:type="dxa"/>
          </w:tcPr>
          <w:p w:rsidR="00D95663" w:rsidRPr="00267DB0" w:rsidRDefault="00D95663" w:rsidP="00B60977">
            <w:pPr>
              <w:pStyle w:val="Tabletext"/>
              <w:rPr>
                <w:rFonts w:asciiTheme="minorHAnsi" w:hAnsiTheme="minorHAnsi" w:cstheme="minorHAnsi"/>
                <w:color w:val="403F41"/>
                <w:lang w:val="en-GB"/>
              </w:rPr>
            </w:pPr>
            <w:r w:rsidRPr="00267DB0">
              <w:rPr>
                <w:rFonts w:asciiTheme="minorHAnsi" w:hAnsiTheme="minorHAnsi" w:cstheme="minorHAnsi"/>
                <w:color w:val="403F41"/>
                <w:lang w:val="en-GB"/>
              </w:rPr>
              <w:t xml:space="preserve">$1,500,001 and above </w:t>
            </w:r>
          </w:p>
        </w:tc>
        <w:tc>
          <w:tcPr>
            <w:tcW w:w="1253"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107 </w:t>
            </w:r>
          </w:p>
        </w:tc>
        <w:tc>
          <w:tcPr>
            <w:tcW w:w="1253"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1.49% </w:t>
            </w:r>
          </w:p>
        </w:tc>
        <w:tc>
          <w:tcPr>
            <w:tcW w:w="1253"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92 </w:t>
            </w:r>
          </w:p>
        </w:tc>
        <w:tc>
          <w:tcPr>
            <w:tcW w:w="1253"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1.19% </w:t>
            </w:r>
          </w:p>
        </w:tc>
        <w:tc>
          <w:tcPr>
            <w:tcW w:w="1253"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91 </w:t>
            </w:r>
          </w:p>
        </w:tc>
        <w:tc>
          <w:tcPr>
            <w:tcW w:w="1254" w:type="dxa"/>
          </w:tcPr>
          <w:p w:rsidR="00D95663" w:rsidRPr="00267DB0" w:rsidRDefault="00D95663" w:rsidP="00B60977">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1.12% </w:t>
            </w:r>
          </w:p>
        </w:tc>
      </w:tr>
    </w:tbl>
    <w:p w:rsidR="00D95663" w:rsidRPr="00267DB0" w:rsidRDefault="00D95663" w:rsidP="00D95663">
      <w:pPr>
        <w:pStyle w:val="BodyText1"/>
        <w:rPr>
          <w:rFonts w:asciiTheme="minorHAnsi" w:hAnsiTheme="minorHAnsi" w:cstheme="minorHAnsi"/>
        </w:rPr>
      </w:pPr>
      <w:r w:rsidRPr="00267DB0">
        <w:rPr>
          <w:rFonts w:asciiTheme="minorHAnsi" w:hAnsiTheme="minorHAnsi" w:cstheme="minorHAnsi"/>
        </w:rPr>
        <w:t>The above figures show that for RADs greater than $550,000 approximately 80% of the rooms fall in the bracket of greater than $550,001 to $850,000. For RAD prices in 2018/19 exceeding $1 million, the Aged Care Pricing Commissioner approved 374 Rooms/Places, approximately 4.61% of all rooms.</w:t>
      </w:r>
    </w:p>
    <w:p w:rsidR="00D95663" w:rsidRPr="00267DB0" w:rsidRDefault="00D95663" w:rsidP="00D95663">
      <w:pPr>
        <w:pStyle w:val="H3"/>
        <w:rPr>
          <w:rFonts w:asciiTheme="minorHAnsi" w:hAnsiTheme="minorHAnsi" w:cstheme="minorHAnsi"/>
        </w:rPr>
      </w:pPr>
      <w:r w:rsidRPr="00267DB0">
        <w:rPr>
          <w:rFonts w:asciiTheme="minorHAnsi" w:hAnsiTheme="minorHAnsi" w:cstheme="minorHAnsi"/>
        </w:rPr>
        <w:t xml:space="preserve">Rooms approved by jurisdiction </w:t>
      </w:r>
    </w:p>
    <w:tbl>
      <w:tblPr>
        <w:tblW w:w="0" w:type="auto"/>
        <w:tblInd w:w="-108"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600" w:firstRow="0" w:lastRow="0" w:firstColumn="0" w:lastColumn="0" w:noHBand="1" w:noVBand="1"/>
        <w:tblCaption w:val="Rooms approved by jurisdiction "/>
      </w:tblPr>
      <w:tblGrid>
        <w:gridCol w:w="2235"/>
        <w:gridCol w:w="1275"/>
        <w:gridCol w:w="1276"/>
        <w:gridCol w:w="1276"/>
        <w:gridCol w:w="1285"/>
        <w:gridCol w:w="1276"/>
        <w:gridCol w:w="1405"/>
      </w:tblGrid>
      <w:tr w:rsidR="00D95663" w:rsidRPr="00267DB0" w:rsidTr="00BD4396">
        <w:trPr>
          <w:cantSplit/>
        </w:trPr>
        <w:tc>
          <w:tcPr>
            <w:tcW w:w="10028" w:type="dxa"/>
            <w:gridSpan w:val="7"/>
            <w:shd w:val="clear" w:color="auto" w:fill="0097AB"/>
          </w:tcPr>
          <w:p w:rsidR="00D95663" w:rsidRPr="00D82E0F" w:rsidRDefault="00D95663" w:rsidP="00B60977">
            <w:pPr>
              <w:pStyle w:val="Tabletext"/>
              <w:rPr>
                <w:rFonts w:asciiTheme="minorHAnsi" w:hAnsiTheme="minorHAnsi" w:cstheme="minorHAnsi"/>
                <w:b/>
                <w:bCs/>
              </w:rPr>
            </w:pPr>
            <w:r w:rsidRPr="00D82E0F">
              <w:rPr>
                <w:rFonts w:asciiTheme="minorHAnsi" w:hAnsiTheme="minorHAnsi" w:cstheme="minorHAnsi"/>
                <w:b/>
                <w:bCs/>
                <w:color w:val="FFFFFF" w:themeColor="background1"/>
              </w:rPr>
              <w:t xml:space="preserve">Rooms approved by number and percent (%) </w:t>
            </w:r>
          </w:p>
        </w:tc>
      </w:tr>
      <w:tr w:rsidR="00D95663" w:rsidRPr="00267DB0" w:rsidTr="00BD4396">
        <w:trPr>
          <w:cantSplit/>
        </w:trPr>
        <w:tc>
          <w:tcPr>
            <w:tcW w:w="2235" w:type="dxa"/>
            <w:vMerge w:val="restart"/>
            <w:shd w:val="clear" w:color="auto" w:fill="E5FFFA"/>
          </w:tcPr>
          <w:p w:rsidR="00D95663" w:rsidRPr="00267DB0" w:rsidRDefault="00D95663" w:rsidP="00D95663">
            <w:pPr>
              <w:pStyle w:val="Tabletext"/>
              <w:rPr>
                <w:rFonts w:asciiTheme="minorHAnsi" w:hAnsiTheme="minorHAnsi" w:cstheme="minorHAnsi"/>
                <w:b/>
                <w:bCs/>
              </w:rPr>
            </w:pPr>
            <w:r w:rsidRPr="00267DB0">
              <w:rPr>
                <w:rFonts w:asciiTheme="minorHAnsi" w:hAnsiTheme="minorHAnsi" w:cstheme="minorHAnsi"/>
                <w:b/>
                <w:bCs/>
              </w:rPr>
              <w:t xml:space="preserve">States/Territories </w:t>
            </w:r>
          </w:p>
        </w:tc>
        <w:tc>
          <w:tcPr>
            <w:tcW w:w="2551" w:type="dxa"/>
            <w:gridSpan w:val="2"/>
            <w:shd w:val="clear" w:color="auto" w:fill="E5FFFA"/>
          </w:tcPr>
          <w:p w:rsidR="00D95663" w:rsidRPr="00267DB0" w:rsidRDefault="00D95663" w:rsidP="00D95663">
            <w:pPr>
              <w:pStyle w:val="Tabletext"/>
              <w:jc w:val="center"/>
              <w:rPr>
                <w:rFonts w:asciiTheme="minorHAnsi" w:hAnsiTheme="minorHAnsi" w:cstheme="minorHAnsi"/>
                <w:b/>
                <w:bCs/>
              </w:rPr>
            </w:pPr>
            <w:r w:rsidRPr="00267DB0">
              <w:rPr>
                <w:rFonts w:asciiTheme="minorHAnsi" w:hAnsiTheme="minorHAnsi" w:cstheme="minorHAnsi"/>
                <w:b/>
                <w:bCs/>
              </w:rPr>
              <w:t>2016-2017</w:t>
            </w:r>
          </w:p>
        </w:tc>
        <w:tc>
          <w:tcPr>
            <w:tcW w:w="2561" w:type="dxa"/>
            <w:gridSpan w:val="2"/>
            <w:shd w:val="clear" w:color="auto" w:fill="E5FFFA"/>
          </w:tcPr>
          <w:p w:rsidR="00D95663" w:rsidRPr="00267DB0" w:rsidRDefault="00D95663" w:rsidP="00D95663">
            <w:pPr>
              <w:pStyle w:val="Tabletext"/>
              <w:jc w:val="center"/>
              <w:rPr>
                <w:rFonts w:asciiTheme="minorHAnsi" w:hAnsiTheme="minorHAnsi" w:cstheme="minorHAnsi"/>
                <w:b/>
                <w:bCs/>
              </w:rPr>
            </w:pPr>
            <w:r w:rsidRPr="00267DB0">
              <w:rPr>
                <w:rFonts w:asciiTheme="minorHAnsi" w:hAnsiTheme="minorHAnsi" w:cstheme="minorHAnsi"/>
                <w:b/>
                <w:bCs/>
              </w:rPr>
              <w:t>2017-2018</w:t>
            </w:r>
          </w:p>
        </w:tc>
        <w:tc>
          <w:tcPr>
            <w:tcW w:w="2681" w:type="dxa"/>
            <w:gridSpan w:val="2"/>
            <w:shd w:val="clear" w:color="auto" w:fill="E5FFFA"/>
          </w:tcPr>
          <w:p w:rsidR="00D95663" w:rsidRPr="00267DB0" w:rsidRDefault="00D95663" w:rsidP="00D95663">
            <w:pPr>
              <w:pStyle w:val="Tabletext"/>
              <w:jc w:val="center"/>
              <w:rPr>
                <w:rFonts w:asciiTheme="minorHAnsi" w:hAnsiTheme="minorHAnsi" w:cstheme="minorHAnsi"/>
                <w:b/>
                <w:bCs/>
              </w:rPr>
            </w:pPr>
            <w:r w:rsidRPr="00267DB0">
              <w:rPr>
                <w:rFonts w:asciiTheme="minorHAnsi" w:hAnsiTheme="minorHAnsi" w:cstheme="minorHAnsi"/>
                <w:b/>
                <w:bCs/>
              </w:rPr>
              <w:t>2018-2019</w:t>
            </w:r>
          </w:p>
        </w:tc>
      </w:tr>
      <w:tr w:rsidR="00D95663" w:rsidRPr="00267DB0" w:rsidTr="00BD4396">
        <w:trPr>
          <w:cantSplit/>
        </w:trPr>
        <w:tc>
          <w:tcPr>
            <w:tcW w:w="2235" w:type="dxa"/>
            <w:vMerge/>
            <w:shd w:val="clear" w:color="auto" w:fill="E5FFFA"/>
          </w:tcPr>
          <w:p w:rsidR="00D95663" w:rsidRPr="00267DB0" w:rsidRDefault="00D95663" w:rsidP="00D95663">
            <w:pPr>
              <w:pStyle w:val="Tabletext"/>
              <w:rPr>
                <w:rFonts w:asciiTheme="minorHAnsi" w:hAnsiTheme="minorHAnsi" w:cstheme="minorHAnsi"/>
              </w:rPr>
            </w:pPr>
          </w:p>
        </w:tc>
        <w:tc>
          <w:tcPr>
            <w:tcW w:w="1275" w:type="dxa"/>
            <w:shd w:val="clear" w:color="auto" w:fill="E5FFFA"/>
          </w:tcPr>
          <w:p w:rsidR="00D95663" w:rsidRPr="00267DB0" w:rsidRDefault="00D95663" w:rsidP="00D95663">
            <w:pPr>
              <w:pStyle w:val="Tabletext"/>
              <w:jc w:val="right"/>
              <w:rPr>
                <w:rFonts w:asciiTheme="minorHAnsi" w:hAnsiTheme="minorHAnsi" w:cstheme="minorHAnsi"/>
                <w:b/>
                <w:bCs/>
              </w:rPr>
            </w:pPr>
            <w:r w:rsidRPr="00267DB0">
              <w:rPr>
                <w:rFonts w:asciiTheme="minorHAnsi" w:hAnsiTheme="minorHAnsi" w:cstheme="minorHAnsi"/>
                <w:b/>
                <w:bCs/>
              </w:rPr>
              <w:t xml:space="preserve">No. </w:t>
            </w:r>
          </w:p>
        </w:tc>
        <w:tc>
          <w:tcPr>
            <w:tcW w:w="1276" w:type="dxa"/>
            <w:shd w:val="clear" w:color="auto" w:fill="E5FFFA"/>
          </w:tcPr>
          <w:p w:rsidR="00D95663" w:rsidRPr="00267DB0" w:rsidRDefault="00D95663" w:rsidP="00D95663">
            <w:pPr>
              <w:pStyle w:val="Tabletext"/>
              <w:jc w:val="right"/>
              <w:rPr>
                <w:rFonts w:asciiTheme="minorHAnsi" w:hAnsiTheme="minorHAnsi" w:cstheme="minorHAnsi"/>
                <w:b/>
                <w:bCs/>
              </w:rPr>
            </w:pPr>
            <w:r w:rsidRPr="00267DB0">
              <w:rPr>
                <w:rFonts w:asciiTheme="minorHAnsi" w:hAnsiTheme="minorHAnsi" w:cstheme="minorHAnsi"/>
                <w:b/>
                <w:bCs/>
              </w:rPr>
              <w:t xml:space="preserve">% </w:t>
            </w:r>
          </w:p>
        </w:tc>
        <w:tc>
          <w:tcPr>
            <w:tcW w:w="1276" w:type="dxa"/>
            <w:shd w:val="clear" w:color="auto" w:fill="E5FFFA"/>
          </w:tcPr>
          <w:p w:rsidR="00D95663" w:rsidRPr="00267DB0" w:rsidRDefault="00D95663" w:rsidP="00D95663">
            <w:pPr>
              <w:pStyle w:val="Tabletext"/>
              <w:jc w:val="right"/>
              <w:rPr>
                <w:rFonts w:asciiTheme="minorHAnsi" w:hAnsiTheme="minorHAnsi" w:cstheme="minorHAnsi"/>
                <w:b/>
                <w:bCs/>
              </w:rPr>
            </w:pPr>
            <w:r w:rsidRPr="00267DB0">
              <w:rPr>
                <w:rFonts w:asciiTheme="minorHAnsi" w:hAnsiTheme="minorHAnsi" w:cstheme="minorHAnsi"/>
                <w:b/>
                <w:bCs/>
              </w:rPr>
              <w:t xml:space="preserve">No. </w:t>
            </w:r>
          </w:p>
        </w:tc>
        <w:tc>
          <w:tcPr>
            <w:tcW w:w="1285" w:type="dxa"/>
            <w:shd w:val="clear" w:color="auto" w:fill="E5FFFA"/>
          </w:tcPr>
          <w:p w:rsidR="00D95663" w:rsidRPr="00267DB0" w:rsidRDefault="00D95663" w:rsidP="00D95663">
            <w:pPr>
              <w:pStyle w:val="Tabletext"/>
              <w:jc w:val="right"/>
              <w:rPr>
                <w:rFonts w:asciiTheme="minorHAnsi" w:hAnsiTheme="minorHAnsi" w:cstheme="minorHAnsi"/>
                <w:b/>
                <w:bCs/>
              </w:rPr>
            </w:pPr>
            <w:r w:rsidRPr="00267DB0">
              <w:rPr>
                <w:rFonts w:asciiTheme="minorHAnsi" w:hAnsiTheme="minorHAnsi" w:cstheme="minorHAnsi"/>
                <w:b/>
                <w:bCs/>
              </w:rPr>
              <w:t xml:space="preserve">% </w:t>
            </w:r>
          </w:p>
        </w:tc>
        <w:tc>
          <w:tcPr>
            <w:tcW w:w="1276" w:type="dxa"/>
            <w:shd w:val="clear" w:color="auto" w:fill="E5FFFA"/>
          </w:tcPr>
          <w:p w:rsidR="00D95663" w:rsidRPr="00267DB0" w:rsidRDefault="00D95663" w:rsidP="00D95663">
            <w:pPr>
              <w:pStyle w:val="Tabletext"/>
              <w:jc w:val="right"/>
              <w:rPr>
                <w:rFonts w:asciiTheme="minorHAnsi" w:hAnsiTheme="minorHAnsi" w:cstheme="minorHAnsi"/>
                <w:b/>
                <w:bCs/>
              </w:rPr>
            </w:pPr>
            <w:r w:rsidRPr="00267DB0">
              <w:rPr>
                <w:rFonts w:asciiTheme="minorHAnsi" w:hAnsiTheme="minorHAnsi" w:cstheme="minorHAnsi"/>
                <w:b/>
                <w:bCs/>
              </w:rPr>
              <w:t xml:space="preserve">No. </w:t>
            </w:r>
          </w:p>
        </w:tc>
        <w:tc>
          <w:tcPr>
            <w:tcW w:w="1405" w:type="dxa"/>
            <w:shd w:val="clear" w:color="auto" w:fill="E5FFFA"/>
          </w:tcPr>
          <w:p w:rsidR="00D95663" w:rsidRPr="00267DB0" w:rsidRDefault="00D95663" w:rsidP="00D95663">
            <w:pPr>
              <w:pStyle w:val="Tabletext"/>
              <w:jc w:val="right"/>
              <w:rPr>
                <w:rFonts w:asciiTheme="minorHAnsi" w:hAnsiTheme="minorHAnsi" w:cstheme="minorHAnsi"/>
                <w:b/>
                <w:bCs/>
              </w:rPr>
            </w:pPr>
            <w:r w:rsidRPr="00267DB0">
              <w:rPr>
                <w:rFonts w:asciiTheme="minorHAnsi" w:hAnsiTheme="minorHAnsi" w:cstheme="minorHAnsi"/>
                <w:b/>
                <w:bCs/>
              </w:rPr>
              <w:t xml:space="preserve">% </w:t>
            </w:r>
          </w:p>
        </w:tc>
      </w:tr>
      <w:tr w:rsidR="00D95663" w:rsidRPr="00267DB0" w:rsidTr="00BD4396">
        <w:trPr>
          <w:cantSplit/>
        </w:trPr>
        <w:tc>
          <w:tcPr>
            <w:tcW w:w="2235" w:type="dxa"/>
          </w:tcPr>
          <w:p w:rsidR="00D95663" w:rsidRPr="00267DB0" w:rsidRDefault="00D95663" w:rsidP="00D95663">
            <w:pPr>
              <w:pStyle w:val="Tabletext"/>
              <w:rPr>
                <w:rFonts w:asciiTheme="minorHAnsi" w:hAnsiTheme="minorHAnsi" w:cstheme="minorHAnsi"/>
                <w:color w:val="403F41"/>
                <w:lang w:val="en-GB"/>
              </w:rPr>
            </w:pPr>
            <w:r w:rsidRPr="00267DB0">
              <w:rPr>
                <w:rFonts w:asciiTheme="minorHAnsi" w:hAnsiTheme="minorHAnsi" w:cstheme="minorHAnsi"/>
                <w:color w:val="403F41"/>
                <w:lang w:val="en-GB"/>
              </w:rPr>
              <w:t xml:space="preserve">ACT </w:t>
            </w:r>
          </w:p>
        </w:tc>
        <w:tc>
          <w:tcPr>
            <w:tcW w:w="1275"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69 </w:t>
            </w:r>
          </w:p>
        </w:tc>
        <w:tc>
          <w:tcPr>
            <w:tcW w:w="1276"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0.96% </w:t>
            </w:r>
          </w:p>
        </w:tc>
        <w:tc>
          <w:tcPr>
            <w:tcW w:w="1276"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445 </w:t>
            </w:r>
          </w:p>
        </w:tc>
        <w:tc>
          <w:tcPr>
            <w:tcW w:w="1285"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5.78% </w:t>
            </w:r>
          </w:p>
        </w:tc>
        <w:tc>
          <w:tcPr>
            <w:tcW w:w="1276"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217 </w:t>
            </w:r>
          </w:p>
        </w:tc>
        <w:tc>
          <w:tcPr>
            <w:tcW w:w="1405"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2.67% </w:t>
            </w:r>
          </w:p>
        </w:tc>
      </w:tr>
      <w:tr w:rsidR="00D95663" w:rsidRPr="00267DB0" w:rsidTr="00BD4396">
        <w:trPr>
          <w:cantSplit/>
        </w:trPr>
        <w:tc>
          <w:tcPr>
            <w:tcW w:w="2235" w:type="dxa"/>
          </w:tcPr>
          <w:p w:rsidR="00D95663" w:rsidRPr="00267DB0" w:rsidRDefault="00D95663" w:rsidP="00D95663">
            <w:pPr>
              <w:pStyle w:val="Tabletext"/>
              <w:rPr>
                <w:rFonts w:asciiTheme="minorHAnsi" w:hAnsiTheme="minorHAnsi" w:cstheme="minorHAnsi"/>
                <w:color w:val="403F41"/>
                <w:lang w:val="en-GB"/>
              </w:rPr>
            </w:pPr>
            <w:r w:rsidRPr="00267DB0">
              <w:rPr>
                <w:rFonts w:asciiTheme="minorHAnsi" w:hAnsiTheme="minorHAnsi" w:cstheme="minorHAnsi"/>
                <w:color w:val="403F41"/>
                <w:lang w:val="en-GB"/>
              </w:rPr>
              <w:t xml:space="preserve">NSW </w:t>
            </w:r>
          </w:p>
        </w:tc>
        <w:tc>
          <w:tcPr>
            <w:tcW w:w="1275"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3634 </w:t>
            </w:r>
          </w:p>
        </w:tc>
        <w:tc>
          <w:tcPr>
            <w:tcW w:w="1276"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50.44% </w:t>
            </w:r>
          </w:p>
        </w:tc>
        <w:tc>
          <w:tcPr>
            <w:tcW w:w="1276"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3368 </w:t>
            </w:r>
          </w:p>
        </w:tc>
        <w:tc>
          <w:tcPr>
            <w:tcW w:w="1285"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43.71% </w:t>
            </w:r>
          </w:p>
        </w:tc>
        <w:tc>
          <w:tcPr>
            <w:tcW w:w="1276"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2373 </w:t>
            </w:r>
          </w:p>
        </w:tc>
        <w:tc>
          <w:tcPr>
            <w:tcW w:w="1405"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29.23% </w:t>
            </w:r>
          </w:p>
        </w:tc>
      </w:tr>
      <w:tr w:rsidR="00D95663" w:rsidRPr="00267DB0" w:rsidTr="00BD4396">
        <w:trPr>
          <w:cantSplit/>
        </w:trPr>
        <w:tc>
          <w:tcPr>
            <w:tcW w:w="2235" w:type="dxa"/>
          </w:tcPr>
          <w:p w:rsidR="00D95663" w:rsidRPr="00267DB0" w:rsidRDefault="00D95663" w:rsidP="00D95663">
            <w:pPr>
              <w:pStyle w:val="Tabletext"/>
              <w:rPr>
                <w:rFonts w:asciiTheme="minorHAnsi" w:hAnsiTheme="minorHAnsi" w:cstheme="minorHAnsi"/>
                <w:color w:val="403F41"/>
                <w:lang w:val="en-GB"/>
              </w:rPr>
            </w:pPr>
            <w:r w:rsidRPr="00267DB0">
              <w:rPr>
                <w:rFonts w:asciiTheme="minorHAnsi" w:hAnsiTheme="minorHAnsi" w:cstheme="minorHAnsi"/>
                <w:color w:val="403F41"/>
                <w:lang w:val="en-GB"/>
              </w:rPr>
              <w:t xml:space="preserve">QLD </w:t>
            </w:r>
          </w:p>
        </w:tc>
        <w:tc>
          <w:tcPr>
            <w:tcW w:w="1275"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431 </w:t>
            </w:r>
          </w:p>
        </w:tc>
        <w:tc>
          <w:tcPr>
            <w:tcW w:w="1276"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5.98% </w:t>
            </w:r>
          </w:p>
        </w:tc>
        <w:tc>
          <w:tcPr>
            <w:tcW w:w="1276"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702 </w:t>
            </w:r>
          </w:p>
        </w:tc>
        <w:tc>
          <w:tcPr>
            <w:tcW w:w="1285"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9.11% </w:t>
            </w:r>
          </w:p>
        </w:tc>
        <w:tc>
          <w:tcPr>
            <w:tcW w:w="1276"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1295 </w:t>
            </w:r>
          </w:p>
        </w:tc>
        <w:tc>
          <w:tcPr>
            <w:tcW w:w="1405"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15.95% </w:t>
            </w:r>
          </w:p>
        </w:tc>
      </w:tr>
      <w:tr w:rsidR="00D95663" w:rsidRPr="00267DB0" w:rsidTr="00BD4396">
        <w:trPr>
          <w:cantSplit/>
        </w:trPr>
        <w:tc>
          <w:tcPr>
            <w:tcW w:w="2235" w:type="dxa"/>
          </w:tcPr>
          <w:p w:rsidR="00D95663" w:rsidRPr="00267DB0" w:rsidRDefault="00D95663" w:rsidP="00D95663">
            <w:pPr>
              <w:pStyle w:val="Tabletext"/>
              <w:rPr>
                <w:rFonts w:asciiTheme="minorHAnsi" w:hAnsiTheme="minorHAnsi" w:cstheme="minorHAnsi"/>
                <w:color w:val="403F41"/>
                <w:lang w:val="en-GB"/>
              </w:rPr>
            </w:pPr>
            <w:r w:rsidRPr="00267DB0">
              <w:rPr>
                <w:rFonts w:asciiTheme="minorHAnsi" w:hAnsiTheme="minorHAnsi" w:cstheme="minorHAnsi"/>
                <w:color w:val="403F41"/>
                <w:lang w:val="en-GB"/>
              </w:rPr>
              <w:t xml:space="preserve">SA </w:t>
            </w:r>
          </w:p>
        </w:tc>
        <w:tc>
          <w:tcPr>
            <w:tcW w:w="1275"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320 </w:t>
            </w:r>
          </w:p>
        </w:tc>
        <w:tc>
          <w:tcPr>
            <w:tcW w:w="1276"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4.44% </w:t>
            </w:r>
          </w:p>
        </w:tc>
        <w:tc>
          <w:tcPr>
            <w:tcW w:w="1276"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418 </w:t>
            </w:r>
          </w:p>
        </w:tc>
        <w:tc>
          <w:tcPr>
            <w:tcW w:w="1285"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5.43% </w:t>
            </w:r>
          </w:p>
        </w:tc>
        <w:tc>
          <w:tcPr>
            <w:tcW w:w="1276"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104 </w:t>
            </w:r>
          </w:p>
        </w:tc>
        <w:tc>
          <w:tcPr>
            <w:tcW w:w="1405"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1.28% </w:t>
            </w:r>
          </w:p>
        </w:tc>
      </w:tr>
      <w:tr w:rsidR="00D95663" w:rsidRPr="00267DB0" w:rsidTr="00BD4396">
        <w:trPr>
          <w:cantSplit/>
        </w:trPr>
        <w:tc>
          <w:tcPr>
            <w:tcW w:w="2235" w:type="dxa"/>
          </w:tcPr>
          <w:p w:rsidR="00D95663" w:rsidRPr="00267DB0" w:rsidRDefault="00D95663" w:rsidP="00D95663">
            <w:pPr>
              <w:pStyle w:val="Tabletext"/>
              <w:rPr>
                <w:rFonts w:asciiTheme="minorHAnsi" w:hAnsiTheme="minorHAnsi" w:cstheme="minorHAnsi"/>
                <w:color w:val="403F41"/>
                <w:lang w:val="en-GB"/>
              </w:rPr>
            </w:pPr>
            <w:r w:rsidRPr="00267DB0">
              <w:rPr>
                <w:rFonts w:asciiTheme="minorHAnsi" w:hAnsiTheme="minorHAnsi" w:cstheme="minorHAnsi"/>
                <w:color w:val="403F41"/>
                <w:lang w:val="en-GB"/>
              </w:rPr>
              <w:t xml:space="preserve">TAS </w:t>
            </w:r>
          </w:p>
        </w:tc>
        <w:tc>
          <w:tcPr>
            <w:tcW w:w="1275"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0 </w:t>
            </w:r>
          </w:p>
        </w:tc>
        <w:tc>
          <w:tcPr>
            <w:tcW w:w="1276"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0.00% </w:t>
            </w:r>
          </w:p>
        </w:tc>
        <w:tc>
          <w:tcPr>
            <w:tcW w:w="1276"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0 </w:t>
            </w:r>
          </w:p>
        </w:tc>
        <w:tc>
          <w:tcPr>
            <w:tcW w:w="1285"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0.00% </w:t>
            </w:r>
          </w:p>
        </w:tc>
        <w:tc>
          <w:tcPr>
            <w:tcW w:w="1276"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16 </w:t>
            </w:r>
          </w:p>
        </w:tc>
        <w:tc>
          <w:tcPr>
            <w:tcW w:w="1405"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0.20% </w:t>
            </w:r>
          </w:p>
        </w:tc>
      </w:tr>
      <w:tr w:rsidR="00D95663" w:rsidRPr="00267DB0" w:rsidTr="00BD4396">
        <w:trPr>
          <w:cantSplit/>
        </w:trPr>
        <w:tc>
          <w:tcPr>
            <w:tcW w:w="2235" w:type="dxa"/>
          </w:tcPr>
          <w:p w:rsidR="00D95663" w:rsidRPr="00267DB0" w:rsidRDefault="00D95663" w:rsidP="00D95663">
            <w:pPr>
              <w:pStyle w:val="Tabletext"/>
              <w:rPr>
                <w:rFonts w:asciiTheme="minorHAnsi" w:hAnsiTheme="minorHAnsi" w:cstheme="minorHAnsi"/>
                <w:color w:val="403F41"/>
                <w:lang w:val="en-GB"/>
              </w:rPr>
            </w:pPr>
            <w:r w:rsidRPr="00267DB0">
              <w:rPr>
                <w:rFonts w:asciiTheme="minorHAnsi" w:hAnsiTheme="minorHAnsi" w:cstheme="minorHAnsi"/>
                <w:color w:val="403F41"/>
                <w:lang w:val="en-GB"/>
              </w:rPr>
              <w:t xml:space="preserve">VIC </w:t>
            </w:r>
          </w:p>
        </w:tc>
        <w:tc>
          <w:tcPr>
            <w:tcW w:w="1275"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1985 </w:t>
            </w:r>
          </w:p>
        </w:tc>
        <w:tc>
          <w:tcPr>
            <w:tcW w:w="1276"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27.12% </w:t>
            </w:r>
          </w:p>
        </w:tc>
        <w:tc>
          <w:tcPr>
            <w:tcW w:w="1276"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1877 </w:t>
            </w:r>
          </w:p>
        </w:tc>
        <w:tc>
          <w:tcPr>
            <w:tcW w:w="1285"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24.36% </w:t>
            </w:r>
          </w:p>
        </w:tc>
        <w:tc>
          <w:tcPr>
            <w:tcW w:w="1276"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3751 </w:t>
            </w:r>
          </w:p>
        </w:tc>
        <w:tc>
          <w:tcPr>
            <w:tcW w:w="1405"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46.21% </w:t>
            </w:r>
          </w:p>
        </w:tc>
      </w:tr>
      <w:tr w:rsidR="00D95663" w:rsidRPr="00267DB0" w:rsidTr="00BD4396">
        <w:trPr>
          <w:cantSplit/>
        </w:trPr>
        <w:tc>
          <w:tcPr>
            <w:tcW w:w="2235" w:type="dxa"/>
          </w:tcPr>
          <w:p w:rsidR="00D95663" w:rsidRPr="00267DB0" w:rsidRDefault="00D95663" w:rsidP="00D95663">
            <w:pPr>
              <w:pStyle w:val="Tabletext"/>
              <w:rPr>
                <w:rFonts w:asciiTheme="minorHAnsi" w:hAnsiTheme="minorHAnsi" w:cstheme="minorHAnsi"/>
                <w:color w:val="403F41"/>
                <w:lang w:val="en-GB"/>
              </w:rPr>
            </w:pPr>
            <w:r w:rsidRPr="00267DB0">
              <w:rPr>
                <w:rFonts w:asciiTheme="minorHAnsi" w:hAnsiTheme="minorHAnsi" w:cstheme="minorHAnsi"/>
                <w:color w:val="403F41"/>
                <w:lang w:val="en-GB"/>
              </w:rPr>
              <w:t xml:space="preserve">WA </w:t>
            </w:r>
          </w:p>
        </w:tc>
        <w:tc>
          <w:tcPr>
            <w:tcW w:w="1275"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797 </w:t>
            </w:r>
          </w:p>
        </w:tc>
        <w:tc>
          <w:tcPr>
            <w:tcW w:w="1276"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11.06% </w:t>
            </w:r>
          </w:p>
        </w:tc>
        <w:tc>
          <w:tcPr>
            <w:tcW w:w="1276"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895 </w:t>
            </w:r>
          </w:p>
        </w:tc>
        <w:tc>
          <w:tcPr>
            <w:tcW w:w="1285"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11.62% </w:t>
            </w:r>
          </w:p>
        </w:tc>
        <w:tc>
          <w:tcPr>
            <w:tcW w:w="1276"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361 </w:t>
            </w:r>
          </w:p>
        </w:tc>
        <w:tc>
          <w:tcPr>
            <w:tcW w:w="1405" w:type="dxa"/>
          </w:tcPr>
          <w:p w:rsidR="00D95663" w:rsidRPr="00267DB0" w:rsidRDefault="00D95663" w:rsidP="00D95663">
            <w:pPr>
              <w:pStyle w:val="Tabletext"/>
              <w:jc w:val="right"/>
              <w:rPr>
                <w:rFonts w:asciiTheme="minorHAnsi" w:hAnsiTheme="minorHAnsi" w:cstheme="minorHAnsi"/>
                <w:color w:val="403F41"/>
                <w:lang w:val="en-GB"/>
              </w:rPr>
            </w:pPr>
            <w:r w:rsidRPr="00267DB0">
              <w:rPr>
                <w:rFonts w:asciiTheme="minorHAnsi" w:hAnsiTheme="minorHAnsi" w:cstheme="minorHAnsi"/>
                <w:color w:val="403F41"/>
                <w:lang w:val="en-GB"/>
              </w:rPr>
              <w:t xml:space="preserve">4.45% </w:t>
            </w:r>
          </w:p>
        </w:tc>
      </w:tr>
    </w:tbl>
    <w:p w:rsidR="00743238" w:rsidRPr="00267DB0" w:rsidRDefault="00743238" w:rsidP="00743238">
      <w:pPr>
        <w:pStyle w:val="BodyText1"/>
        <w:rPr>
          <w:rFonts w:asciiTheme="minorHAnsi" w:hAnsiTheme="minorHAnsi" w:cstheme="minorHAnsi"/>
          <w:lang w:val="en-GB"/>
        </w:rPr>
      </w:pPr>
      <w:r w:rsidRPr="00267DB0">
        <w:rPr>
          <w:rFonts w:asciiTheme="minorHAnsi" w:hAnsiTheme="minorHAnsi" w:cstheme="minorHAnsi"/>
          <w:lang w:val="en-GB"/>
        </w:rPr>
        <w:lastRenderedPageBreak/>
        <w:t xml:space="preserve">There has been a steady increase in Rooms/Places approved by the Aged Care Pricing Commissioner over the last 3 years, increasing from 7,236 in 2016/17 to 7,705 in 2017/18 and 8,117 in 2018/19, an overall increase of 912 Rooms/ Places. Of the 8,117 Rooms approved by the Aged Care Pricing Commissioner this year, 6,124 are in NSW and Victoria, accounting for approximately 75% of all Rooms approved. The following trends have been noted: </w:t>
      </w:r>
    </w:p>
    <w:p w:rsidR="00743238" w:rsidRPr="00267DB0" w:rsidRDefault="00743238" w:rsidP="00D82E0F">
      <w:pPr>
        <w:pStyle w:val="Bulletlist"/>
        <w:rPr>
          <w:lang w:val="en-GB"/>
        </w:rPr>
      </w:pPr>
      <w:r w:rsidRPr="00267DB0">
        <w:rPr>
          <w:lang w:val="en-GB"/>
        </w:rPr>
        <w:t xml:space="preserve">Queensland has seen a steady and marked increase over the last 3 years, going from 431 to 702 last year and up to 1295 this year for Rooms/Places approved. This growth is associated with a number of new facilities coming online in recent years, particularly in the Greater Brisbane area, and completion of developments on the Gold and Sunshine Coasts. </w:t>
      </w:r>
    </w:p>
    <w:p w:rsidR="00743238" w:rsidRPr="00267DB0" w:rsidRDefault="00743238" w:rsidP="00D82E0F">
      <w:pPr>
        <w:pStyle w:val="Bulletlist"/>
        <w:rPr>
          <w:lang w:val="en-GB"/>
        </w:rPr>
      </w:pPr>
      <w:r w:rsidRPr="00267DB0">
        <w:rPr>
          <w:lang w:val="en-GB"/>
        </w:rPr>
        <w:t xml:space="preserve">Tasmania has jumped into the spotlight this year with 16 Rooms/Places coming online at The Queen Victoria at Lindisfarne at Hobart; a brand new wing attached to the existing facility. </w:t>
      </w:r>
    </w:p>
    <w:p w:rsidR="00743238" w:rsidRPr="00743238" w:rsidRDefault="00743238" w:rsidP="00D82E0F">
      <w:pPr>
        <w:pStyle w:val="Bulletlist"/>
        <w:rPr>
          <w:lang w:val="en-GB"/>
        </w:rPr>
      </w:pPr>
      <w:r w:rsidRPr="00267DB0">
        <w:rPr>
          <w:lang w:val="en-GB"/>
        </w:rPr>
        <w:t xml:space="preserve">Victoria seems to be the standout in terms of increasing available Rooms/Places over the last 3 years, with an increase of 1,875 rooms in the last 2 years, and with a 100% increase to 3,751 Rooms in 2018/19. Most of this increase can be attributed to new rooms coming online from recently completed developments in inner Melbourne. </w:t>
      </w:r>
    </w:p>
    <w:p w:rsidR="00743238" w:rsidRPr="00267DB0" w:rsidRDefault="00743238" w:rsidP="00743238">
      <w:pPr>
        <w:pStyle w:val="H3"/>
        <w:rPr>
          <w:rFonts w:asciiTheme="minorHAnsi" w:hAnsiTheme="minorHAnsi" w:cstheme="minorHAnsi"/>
        </w:rPr>
      </w:pPr>
      <w:r w:rsidRPr="00267DB0">
        <w:rPr>
          <w:rFonts w:asciiTheme="minorHAnsi" w:hAnsiTheme="minorHAnsi" w:cstheme="minorHAnsi"/>
        </w:rPr>
        <w:t xml:space="preserve">Rooms approved by distance from Central Business Districts </w:t>
      </w:r>
    </w:p>
    <w:tbl>
      <w:tblPr>
        <w:tblW w:w="0" w:type="auto"/>
        <w:tblInd w:w="-108"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000" w:firstRow="0" w:lastRow="0" w:firstColumn="0" w:lastColumn="0" w:noHBand="0" w:noVBand="0"/>
        <w:tblCaption w:val="Rooms approved by distance from Central Business Districts "/>
      </w:tblPr>
      <w:tblGrid>
        <w:gridCol w:w="2233"/>
        <w:gridCol w:w="1302"/>
        <w:gridCol w:w="1304"/>
        <w:gridCol w:w="1302"/>
        <w:gridCol w:w="1299"/>
        <w:gridCol w:w="1302"/>
        <w:gridCol w:w="1306"/>
      </w:tblGrid>
      <w:tr w:rsidR="00743238" w:rsidRPr="00743238" w:rsidTr="00D82E0F">
        <w:trPr>
          <w:trHeight w:val="118"/>
        </w:trPr>
        <w:tc>
          <w:tcPr>
            <w:tcW w:w="10045" w:type="dxa"/>
            <w:gridSpan w:val="7"/>
            <w:shd w:val="clear" w:color="auto" w:fill="0097AB"/>
          </w:tcPr>
          <w:p w:rsidR="00743238" w:rsidRPr="00267DB0" w:rsidRDefault="00743238" w:rsidP="00743238">
            <w:pPr>
              <w:pStyle w:val="Tabletext"/>
              <w:rPr>
                <w:rFonts w:asciiTheme="minorHAnsi" w:hAnsiTheme="minorHAnsi" w:cstheme="minorHAnsi"/>
                <w:b/>
                <w:bCs/>
                <w:lang w:val="en-GB"/>
              </w:rPr>
            </w:pPr>
            <w:r w:rsidRPr="00D82E0F">
              <w:rPr>
                <w:rFonts w:asciiTheme="minorHAnsi" w:hAnsiTheme="minorHAnsi" w:cstheme="minorHAnsi"/>
                <w:b/>
                <w:bCs/>
                <w:color w:val="FFFFFF" w:themeColor="background1"/>
                <w:lang w:val="en-GB"/>
              </w:rPr>
              <w:t xml:space="preserve">Rooms approved by number and percent (%) </w:t>
            </w:r>
          </w:p>
        </w:tc>
      </w:tr>
      <w:tr w:rsidR="00267DB0" w:rsidRPr="00743238" w:rsidTr="00D82E0F">
        <w:trPr>
          <w:trHeight w:val="117"/>
        </w:trPr>
        <w:tc>
          <w:tcPr>
            <w:tcW w:w="2233" w:type="dxa"/>
            <w:vMerge w:val="restart"/>
            <w:shd w:val="clear" w:color="auto" w:fill="E5FFFA"/>
          </w:tcPr>
          <w:p w:rsidR="00743238" w:rsidRPr="00267DB0" w:rsidRDefault="00743238" w:rsidP="00743238">
            <w:pPr>
              <w:pStyle w:val="Tabletext"/>
              <w:rPr>
                <w:rFonts w:asciiTheme="minorHAnsi" w:hAnsiTheme="minorHAnsi" w:cstheme="minorHAnsi"/>
                <w:b/>
                <w:bCs/>
                <w:lang w:val="en-GB"/>
              </w:rPr>
            </w:pPr>
            <w:r w:rsidRPr="00267DB0">
              <w:rPr>
                <w:rFonts w:asciiTheme="minorHAnsi" w:hAnsiTheme="minorHAnsi" w:cstheme="minorHAnsi"/>
                <w:b/>
                <w:bCs/>
                <w:lang w:val="en-GB"/>
              </w:rPr>
              <w:t xml:space="preserve">Distance Band </w:t>
            </w:r>
          </w:p>
        </w:tc>
        <w:tc>
          <w:tcPr>
            <w:tcW w:w="2606" w:type="dxa"/>
            <w:gridSpan w:val="2"/>
            <w:shd w:val="clear" w:color="auto" w:fill="E5FFFA"/>
          </w:tcPr>
          <w:p w:rsidR="00743238" w:rsidRPr="00267DB0" w:rsidRDefault="00743238" w:rsidP="00267DB0">
            <w:pPr>
              <w:pStyle w:val="Tabletext"/>
              <w:jc w:val="center"/>
              <w:rPr>
                <w:rFonts w:asciiTheme="minorHAnsi" w:hAnsiTheme="minorHAnsi" w:cstheme="minorHAnsi"/>
                <w:b/>
                <w:bCs/>
                <w:lang w:val="en-GB"/>
              </w:rPr>
            </w:pPr>
            <w:r w:rsidRPr="00267DB0">
              <w:rPr>
                <w:rFonts w:asciiTheme="minorHAnsi" w:hAnsiTheme="minorHAnsi" w:cstheme="minorHAnsi"/>
                <w:b/>
                <w:bCs/>
                <w:lang w:val="en-GB"/>
              </w:rPr>
              <w:t>2016-2017</w:t>
            </w:r>
          </w:p>
        </w:tc>
        <w:tc>
          <w:tcPr>
            <w:tcW w:w="2601" w:type="dxa"/>
            <w:gridSpan w:val="2"/>
            <w:shd w:val="clear" w:color="auto" w:fill="E5FFFA"/>
          </w:tcPr>
          <w:p w:rsidR="00743238" w:rsidRPr="00267DB0" w:rsidRDefault="00743238" w:rsidP="00267DB0">
            <w:pPr>
              <w:pStyle w:val="Tabletext"/>
              <w:jc w:val="center"/>
              <w:rPr>
                <w:rFonts w:asciiTheme="minorHAnsi" w:hAnsiTheme="minorHAnsi" w:cstheme="minorHAnsi"/>
                <w:b/>
                <w:bCs/>
                <w:lang w:val="en-GB"/>
              </w:rPr>
            </w:pPr>
            <w:r w:rsidRPr="00267DB0">
              <w:rPr>
                <w:rFonts w:asciiTheme="minorHAnsi" w:hAnsiTheme="minorHAnsi" w:cstheme="minorHAnsi"/>
                <w:b/>
                <w:bCs/>
                <w:lang w:val="en-GB"/>
              </w:rPr>
              <w:t>2017-2018</w:t>
            </w:r>
          </w:p>
        </w:tc>
        <w:tc>
          <w:tcPr>
            <w:tcW w:w="2605" w:type="dxa"/>
            <w:gridSpan w:val="2"/>
            <w:shd w:val="clear" w:color="auto" w:fill="E5FFFA"/>
          </w:tcPr>
          <w:p w:rsidR="00743238" w:rsidRPr="00267DB0" w:rsidRDefault="00743238" w:rsidP="00267DB0">
            <w:pPr>
              <w:pStyle w:val="Tabletext"/>
              <w:jc w:val="center"/>
              <w:rPr>
                <w:rFonts w:asciiTheme="minorHAnsi" w:hAnsiTheme="minorHAnsi" w:cstheme="minorHAnsi"/>
                <w:b/>
                <w:bCs/>
                <w:lang w:val="en-GB"/>
              </w:rPr>
            </w:pPr>
            <w:r w:rsidRPr="00267DB0">
              <w:rPr>
                <w:rFonts w:asciiTheme="minorHAnsi" w:hAnsiTheme="minorHAnsi" w:cstheme="minorHAnsi"/>
                <w:b/>
                <w:bCs/>
                <w:lang w:val="en-GB"/>
              </w:rPr>
              <w:t>2018-2019</w:t>
            </w:r>
          </w:p>
        </w:tc>
      </w:tr>
      <w:tr w:rsidR="00267DB0" w:rsidRPr="00267DB0" w:rsidTr="00D82E0F">
        <w:trPr>
          <w:trHeight w:val="117"/>
        </w:trPr>
        <w:tc>
          <w:tcPr>
            <w:tcW w:w="2233" w:type="dxa"/>
            <w:vMerge/>
            <w:shd w:val="clear" w:color="auto" w:fill="E5FFFA"/>
          </w:tcPr>
          <w:p w:rsidR="00743238" w:rsidRPr="00267DB0" w:rsidRDefault="00743238" w:rsidP="00743238">
            <w:pPr>
              <w:pStyle w:val="Tabletext"/>
              <w:rPr>
                <w:rFonts w:asciiTheme="minorHAnsi" w:hAnsiTheme="minorHAnsi" w:cstheme="minorHAnsi"/>
                <w:lang w:val="en-GB"/>
              </w:rPr>
            </w:pPr>
          </w:p>
        </w:tc>
        <w:tc>
          <w:tcPr>
            <w:tcW w:w="1302" w:type="dxa"/>
            <w:shd w:val="clear" w:color="auto" w:fill="E5FFFA"/>
          </w:tcPr>
          <w:p w:rsidR="00743238" w:rsidRPr="00267DB0" w:rsidRDefault="00743238" w:rsidP="00267DB0">
            <w:pPr>
              <w:pStyle w:val="Tabletext"/>
              <w:jc w:val="right"/>
              <w:rPr>
                <w:rFonts w:asciiTheme="minorHAnsi" w:hAnsiTheme="minorHAnsi" w:cstheme="minorHAnsi"/>
                <w:b/>
                <w:bCs/>
                <w:lang w:val="en-GB"/>
              </w:rPr>
            </w:pPr>
            <w:r w:rsidRPr="00267DB0">
              <w:rPr>
                <w:rFonts w:asciiTheme="minorHAnsi" w:hAnsiTheme="minorHAnsi" w:cstheme="minorHAnsi"/>
                <w:b/>
                <w:bCs/>
                <w:lang w:val="en-GB"/>
              </w:rPr>
              <w:t xml:space="preserve">No. </w:t>
            </w:r>
          </w:p>
        </w:tc>
        <w:tc>
          <w:tcPr>
            <w:tcW w:w="1304" w:type="dxa"/>
            <w:shd w:val="clear" w:color="auto" w:fill="E5FFFA"/>
          </w:tcPr>
          <w:p w:rsidR="00743238" w:rsidRPr="00267DB0" w:rsidRDefault="00743238" w:rsidP="00267DB0">
            <w:pPr>
              <w:pStyle w:val="Tabletext"/>
              <w:jc w:val="right"/>
              <w:rPr>
                <w:rFonts w:asciiTheme="minorHAnsi" w:hAnsiTheme="minorHAnsi" w:cstheme="minorHAnsi"/>
                <w:b/>
                <w:bCs/>
                <w:lang w:val="en-GB"/>
              </w:rPr>
            </w:pPr>
            <w:r w:rsidRPr="00267DB0">
              <w:rPr>
                <w:rFonts w:asciiTheme="minorHAnsi" w:hAnsiTheme="minorHAnsi" w:cstheme="minorHAnsi"/>
                <w:b/>
                <w:bCs/>
                <w:lang w:val="en-GB"/>
              </w:rPr>
              <w:t xml:space="preserve">% </w:t>
            </w:r>
          </w:p>
        </w:tc>
        <w:tc>
          <w:tcPr>
            <w:tcW w:w="1302" w:type="dxa"/>
            <w:shd w:val="clear" w:color="auto" w:fill="E5FFFA"/>
          </w:tcPr>
          <w:p w:rsidR="00743238" w:rsidRPr="00267DB0" w:rsidRDefault="00743238" w:rsidP="00267DB0">
            <w:pPr>
              <w:pStyle w:val="Tabletext"/>
              <w:jc w:val="right"/>
              <w:rPr>
                <w:rFonts w:asciiTheme="minorHAnsi" w:hAnsiTheme="minorHAnsi" w:cstheme="minorHAnsi"/>
                <w:b/>
                <w:bCs/>
                <w:lang w:val="en-GB"/>
              </w:rPr>
            </w:pPr>
            <w:r w:rsidRPr="00267DB0">
              <w:rPr>
                <w:rFonts w:asciiTheme="minorHAnsi" w:hAnsiTheme="minorHAnsi" w:cstheme="minorHAnsi"/>
                <w:b/>
                <w:bCs/>
                <w:lang w:val="en-GB"/>
              </w:rPr>
              <w:t xml:space="preserve">No. </w:t>
            </w:r>
          </w:p>
        </w:tc>
        <w:tc>
          <w:tcPr>
            <w:tcW w:w="1299" w:type="dxa"/>
            <w:shd w:val="clear" w:color="auto" w:fill="E5FFFA"/>
          </w:tcPr>
          <w:p w:rsidR="00743238" w:rsidRPr="00267DB0" w:rsidRDefault="00743238" w:rsidP="00267DB0">
            <w:pPr>
              <w:pStyle w:val="Tabletext"/>
              <w:jc w:val="right"/>
              <w:rPr>
                <w:rFonts w:asciiTheme="minorHAnsi" w:hAnsiTheme="minorHAnsi" w:cstheme="minorHAnsi"/>
                <w:b/>
                <w:bCs/>
                <w:lang w:val="en-GB"/>
              </w:rPr>
            </w:pPr>
            <w:r w:rsidRPr="00267DB0">
              <w:rPr>
                <w:rFonts w:asciiTheme="minorHAnsi" w:hAnsiTheme="minorHAnsi" w:cstheme="minorHAnsi"/>
                <w:b/>
                <w:bCs/>
                <w:lang w:val="en-GB"/>
              </w:rPr>
              <w:t xml:space="preserve">% </w:t>
            </w:r>
          </w:p>
        </w:tc>
        <w:tc>
          <w:tcPr>
            <w:tcW w:w="1299" w:type="dxa"/>
            <w:shd w:val="clear" w:color="auto" w:fill="E5FFFA"/>
          </w:tcPr>
          <w:p w:rsidR="00743238" w:rsidRPr="00267DB0" w:rsidRDefault="00743238" w:rsidP="00267DB0">
            <w:pPr>
              <w:pStyle w:val="Tabletext"/>
              <w:jc w:val="right"/>
              <w:rPr>
                <w:rFonts w:asciiTheme="minorHAnsi" w:hAnsiTheme="minorHAnsi" w:cstheme="minorHAnsi"/>
                <w:b/>
                <w:bCs/>
                <w:lang w:val="en-GB"/>
              </w:rPr>
            </w:pPr>
            <w:r w:rsidRPr="00267DB0">
              <w:rPr>
                <w:rFonts w:asciiTheme="minorHAnsi" w:hAnsiTheme="minorHAnsi" w:cstheme="minorHAnsi"/>
                <w:b/>
                <w:bCs/>
                <w:lang w:val="en-GB"/>
              </w:rPr>
              <w:t xml:space="preserve">No. </w:t>
            </w:r>
          </w:p>
        </w:tc>
        <w:tc>
          <w:tcPr>
            <w:tcW w:w="1306" w:type="dxa"/>
            <w:shd w:val="clear" w:color="auto" w:fill="E5FFFA"/>
          </w:tcPr>
          <w:p w:rsidR="00743238" w:rsidRPr="00267DB0" w:rsidRDefault="00743238" w:rsidP="00267DB0">
            <w:pPr>
              <w:pStyle w:val="Tabletext"/>
              <w:jc w:val="right"/>
              <w:rPr>
                <w:rFonts w:asciiTheme="minorHAnsi" w:hAnsiTheme="minorHAnsi" w:cstheme="minorHAnsi"/>
                <w:b/>
                <w:bCs/>
                <w:lang w:val="en-GB"/>
              </w:rPr>
            </w:pPr>
            <w:r w:rsidRPr="00267DB0">
              <w:rPr>
                <w:rFonts w:asciiTheme="minorHAnsi" w:hAnsiTheme="minorHAnsi" w:cstheme="minorHAnsi"/>
                <w:b/>
                <w:bCs/>
                <w:lang w:val="en-GB"/>
              </w:rPr>
              <w:t xml:space="preserve">% </w:t>
            </w:r>
          </w:p>
        </w:tc>
      </w:tr>
      <w:tr w:rsidR="00267DB0" w:rsidRPr="00743238" w:rsidTr="00267DB0">
        <w:trPr>
          <w:trHeight w:val="108"/>
        </w:trPr>
        <w:tc>
          <w:tcPr>
            <w:tcW w:w="2233" w:type="dxa"/>
          </w:tcPr>
          <w:p w:rsidR="00743238" w:rsidRPr="00267DB0" w:rsidRDefault="00743238" w:rsidP="00743238">
            <w:pPr>
              <w:pStyle w:val="Tabletex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0 - 10 kms from CBD </w:t>
            </w:r>
          </w:p>
        </w:tc>
        <w:tc>
          <w:tcPr>
            <w:tcW w:w="1302"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2706 </w:t>
            </w:r>
          </w:p>
        </w:tc>
        <w:tc>
          <w:tcPr>
            <w:tcW w:w="1304"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37.40% </w:t>
            </w:r>
          </w:p>
        </w:tc>
        <w:tc>
          <w:tcPr>
            <w:tcW w:w="1302"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3485 </w:t>
            </w:r>
          </w:p>
        </w:tc>
        <w:tc>
          <w:tcPr>
            <w:tcW w:w="1299"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45.23% </w:t>
            </w:r>
          </w:p>
        </w:tc>
        <w:tc>
          <w:tcPr>
            <w:tcW w:w="1299"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2245 </w:t>
            </w:r>
          </w:p>
        </w:tc>
        <w:tc>
          <w:tcPr>
            <w:tcW w:w="1306"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27.66% </w:t>
            </w:r>
          </w:p>
        </w:tc>
      </w:tr>
      <w:tr w:rsidR="00267DB0" w:rsidRPr="00743238" w:rsidTr="00267DB0">
        <w:trPr>
          <w:trHeight w:val="108"/>
        </w:trPr>
        <w:tc>
          <w:tcPr>
            <w:tcW w:w="2233" w:type="dxa"/>
          </w:tcPr>
          <w:p w:rsidR="00743238" w:rsidRPr="00267DB0" w:rsidRDefault="00743238" w:rsidP="00743238">
            <w:pPr>
              <w:pStyle w:val="Tabletex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11 - 20 kms from CBD </w:t>
            </w:r>
          </w:p>
        </w:tc>
        <w:tc>
          <w:tcPr>
            <w:tcW w:w="1302"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2022 </w:t>
            </w:r>
          </w:p>
        </w:tc>
        <w:tc>
          <w:tcPr>
            <w:tcW w:w="1304"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27.94% </w:t>
            </w:r>
          </w:p>
        </w:tc>
        <w:tc>
          <w:tcPr>
            <w:tcW w:w="1302"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1979 </w:t>
            </w:r>
          </w:p>
        </w:tc>
        <w:tc>
          <w:tcPr>
            <w:tcW w:w="1299"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25.68% </w:t>
            </w:r>
          </w:p>
        </w:tc>
        <w:tc>
          <w:tcPr>
            <w:tcW w:w="1299"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2901 </w:t>
            </w:r>
          </w:p>
        </w:tc>
        <w:tc>
          <w:tcPr>
            <w:tcW w:w="1306"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35.74% </w:t>
            </w:r>
          </w:p>
        </w:tc>
      </w:tr>
      <w:tr w:rsidR="00267DB0" w:rsidRPr="00743238" w:rsidTr="00267DB0">
        <w:trPr>
          <w:trHeight w:val="108"/>
        </w:trPr>
        <w:tc>
          <w:tcPr>
            <w:tcW w:w="2233" w:type="dxa"/>
          </w:tcPr>
          <w:p w:rsidR="00743238" w:rsidRPr="00267DB0" w:rsidRDefault="00743238" w:rsidP="00743238">
            <w:pPr>
              <w:pStyle w:val="Tabletex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21- 40 kms from CBD </w:t>
            </w:r>
          </w:p>
        </w:tc>
        <w:tc>
          <w:tcPr>
            <w:tcW w:w="1302"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2053 </w:t>
            </w:r>
          </w:p>
        </w:tc>
        <w:tc>
          <w:tcPr>
            <w:tcW w:w="1304"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28.37% </w:t>
            </w:r>
          </w:p>
        </w:tc>
        <w:tc>
          <w:tcPr>
            <w:tcW w:w="1302"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1534 </w:t>
            </w:r>
          </w:p>
        </w:tc>
        <w:tc>
          <w:tcPr>
            <w:tcW w:w="1299"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19.91% </w:t>
            </w:r>
          </w:p>
        </w:tc>
        <w:tc>
          <w:tcPr>
            <w:tcW w:w="1299"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1391 </w:t>
            </w:r>
          </w:p>
        </w:tc>
        <w:tc>
          <w:tcPr>
            <w:tcW w:w="1306"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17.14% </w:t>
            </w:r>
          </w:p>
        </w:tc>
      </w:tr>
      <w:tr w:rsidR="00267DB0" w:rsidRPr="00743238" w:rsidTr="00267DB0">
        <w:trPr>
          <w:trHeight w:val="108"/>
        </w:trPr>
        <w:tc>
          <w:tcPr>
            <w:tcW w:w="2233" w:type="dxa"/>
          </w:tcPr>
          <w:p w:rsidR="00743238" w:rsidRPr="00267DB0" w:rsidRDefault="00743238" w:rsidP="00743238">
            <w:pPr>
              <w:pStyle w:val="Tabletex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40+ kms from CBD </w:t>
            </w:r>
          </w:p>
        </w:tc>
        <w:tc>
          <w:tcPr>
            <w:tcW w:w="1302"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455 </w:t>
            </w:r>
          </w:p>
        </w:tc>
        <w:tc>
          <w:tcPr>
            <w:tcW w:w="1304"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6.29% </w:t>
            </w:r>
          </w:p>
        </w:tc>
        <w:tc>
          <w:tcPr>
            <w:tcW w:w="1302"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707 </w:t>
            </w:r>
          </w:p>
        </w:tc>
        <w:tc>
          <w:tcPr>
            <w:tcW w:w="1299"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9.18% </w:t>
            </w:r>
          </w:p>
        </w:tc>
        <w:tc>
          <w:tcPr>
            <w:tcW w:w="1299"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1580 </w:t>
            </w:r>
          </w:p>
        </w:tc>
        <w:tc>
          <w:tcPr>
            <w:tcW w:w="1306"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19.47% </w:t>
            </w:r>
          </w:p>
        </w:tc>
      </w:tr>
      <w:tr w:rsidR="00267DB0" w:rsidRPr="00743238" w:rsidTr="00267DB0">
        <w:trPr>
          <w:trHeight w:val="111"/>
        </w:trPr>
        <w:tc>
          <w:tcPr>
            <w:tcW w:w="2233" w:type="dxa"/>
          </w:tcPr>
          <w:p w:rsidR="00267DB0" w:rsidRPr="00267DB0" w:rsidRDefault="00267DB0" w:rsidP="00743238">
            <w:pPr>
              <w:pStyle w:val="Tabletext"/>
              <w:rPr>
                <w:rFonts w:asciiTheme="minorHAnsi" w:hAnsiTheme="minorHAnsi" w:cstheme="minorHAnsi"/>
                <w:b/>
                <w:bCs/>
                <w:color w:val="403F41"/>
                <w:sz w:val="18"/>
                <w:szCs w:val="18"/>
                <w:lang w:val="en-GB"/>
              </w:rPr>
            </w:pPr>
            <w:r w:rsidRPr="00267DB0">
              <w:rPr>
                <w:rFonts w:asciiTheme="minorHAnsi" w:hAnsiTheme="minorHAnsi" w:cstheme="minorHAnsi"/>
                <w:b/>
                <w:bCs/>
                <w:color w:val="403F41"/>
                <w:sz w:val="18"/>
                <w:szCs w:val="18"/>
                <w:lang w:val="en-GB"/>
              </w:rPr>
              <w:t xml:space="preserve">Total </w:t>
            </w:r>
          </w:p>
        </w:tc>
        <w:tc>
          <w:tcPr>
            <w:tcW w:w="1302" w:type="dxa"/>
          </w:tcPr>
          <w:p w:rsidR="00267DB0" w:rsidRPr="00267DB0" w:rsidRDefault="00267DB0" w:rsidP="00267DB0">
            <w:pPr>
              <w:pStyle w:val="Tabletext"/>
              <w:jc w:val="right"/>
              <w:rPr>
                <w:rFonts w:asciiTheme="minorHAnsi" w:hAnsiTheme="minorHAnsi" w:cstheme="minorHAnsi"/>
                <w:b/>
                <w:bCs/>
                <w:color w:val="403F41"/>
                <w:sz w:val="18"/>
                <w:szCs w:val="18"/>
                <w:lang w:val="en-GB"/>
              </w:rPr>
            </w:pPr>
            <w:r w:rsidRPr="00267DB0">
              <w:rPr>
                <w:rFonts w:asciiTheme="minorHAnsi" w:hAnsiTheme="minorHAnsi" w:cstheme="minorHAnsi"/>
                <w:b/>
                <w:bCs/>
                <w:color w:val="403F41"/>
                <w:sz w:val="18"/>
                <w:szCs w:val="18"/>
                <w:lang w:val="en-GB"/>
              </w:rPr>
              <w:t>7236</w:t>
            </w:r>
          </w:p>
        </w:tc>
        <w:tc>
          <w:tcPr>
            <w:tcW w:w="1304" w:type="dxa"/>
          </w:tcPr>
          <w:p w:rsidR="00267DB0" w:rsidRPr="00267DB0" w:rsidRDefault="00267DB0" w:rsidP="00267DB0">
            <w:pPr>
              <w:pStyle w:val="Tabletext"/>
              <w:jc w:val="right"/>
              <w:rPr>
                <w:rFonts w:asciiTheme="minorHAnsi" w:hAnsiTheme="minorHAnsi" w:cstheme="minorHAnsi"/>
                <w:b/>
                <w:bCs/>
                <w:color w:val="403F41"/>
                <w:sz w:val="18"/>
                <w:szCs w:val="18"/>
                <w:lang w:val="en-GB"/>
              </w:rPr>
            </w:pPr>
          </w:p>
        </w:tc>
        <w:tc>
          <w:tcPr>
            <w:tcW w:w="1302" w:type="dxa"/>
          </w:tcPr>
          <w:p w:rsidR="00267DB0" w:rsidRPr="00267DB0" w:rsidRDefault="00267DB0" w:rsidP="00267DB0">
            <w:pPr>
              <w:pStyle w:val="Tabletext"/>
              <w:jc w:val="right"/>
              <w:rPr>
                <w:rFonts w:asciiTheme="minorHAnsi" w:hAnsiTheme="minorHAnsi" w:cstheme="minorHAnsi"/>
                <w:b/>
                <w:bCs/>
                <w:color w:val="403F41"/>
                <w:sz w:val="18"/>
                <w:szCs w:val="18"/>
                <w:lang w:val="en-GB"/>
              </w:rPr>
            </w:pPr>
            <w:r w:rsidRPr="00267DB0">
              <w:rPr>
                <w:rFonts w:asciiTheme="minorHAnsi" w:hAnsiTheme="minorHAnsi" w:cstheme="minorHAnsi"/>
                <w:b/>
                <w:bCs/>
                <w:color w:val="403F41"/>
                <w:sz w:val="18"/>
                <w:szCs w:val="18"/>
                <w:lang w:val="en-GB"/>
              </w:rPr>
              <w:t>7705</w:t>
            </w:r>
          </w:p>
        </w:tc>
        <w:tc>
          <w:tcPr>
            <w:tcW w:w="1299" w:type="dxa"/>
          </w:tcPr>
          <w:p w:rsidR="00267DB0" w:rsidRPr="00267DB0" w:rsidRDefault="00267DB0" w:rsidP="00267DB0">
            <w:pPr>
              <w:pStyle w:val="Tabletext"/>
              <w:jc w:val="right"/>
              <w:rPr>
                <w:rFonts w:asciiTheme="minorHAnsi" w:hAnsiTheme="minorHAnsi" w:cstheme="minorHAnsi"/>
                <w:b/>
                <w:bCs/>
                <w:color w:val="403F41"/>
                <w:sz w:val="18"/>
                <w:szCs w:val="18"/>
                <w:lang w:val="en-GB"/>
              </w:rPr>
            </w:pPr>
          </w:p>
        </w:tc>
        <w:tc>
          <w:tcPr>
            <w:tcW w:w="1302" w:type="dxa"/>
          </w:tcPr>
          <w:p w:rsidR="00267DB0" w:rsidRPr="00267DB0" w:rsidRDefault="00267DB0" w:rsidP="00267DB0">
            <w:pPr>
              <w:pStyle w:val="Tabletext"/>
              <w:jc w:val="right"/>
              <w:rPr>
                <w:rFonts w:asciiTheme="minorHAnsi" w:hAnsiTheme="minorHAnsi" w:cstheme="minorHAnsi"/>
                <w:b/>
                <w:bCs/>
                <w:color w:val="403F41"/>
                <w:sz w:val="18"/>
                <w:szCs w:val="18"/>
                <w:lang w:val="en-GB"/>
              </w:rPr>
            </w:pPr>
            <w:r w:rsidRPr="00267DB0">
              <w:rPr>
                <w:rFonts w:asciiTheme="minorHAnsi" w:hAnsiTheme="minorHAnsi" w:cstheme="minorHAnsi"/>
                <w:b/>
                <w:bCs/>
                <w:color w:val="403F41"/>
                <w:sz w:val="18"/>
                <w:szCs w:val="18"/>
                <w:lang w:val="en-GB"/>
              </w:rPr>
              <w:t>8117</w:t>
            </w:r>
          </w:p>
        </w:tc>
        <w:tc>
          <w:tcPr>
            <w:tcW w:w="1303" w:type="dxa"/>
          </w:tcPr>
          <w:p w:rsidR="00267DB0" w:rsidRPr="00267DB0" w:rsidRDefault="00267DB0" w:rsidP="00267DB0">
            <w:pPr>
              <w:pStyle w:val="Tabletext"/>
              <w:jc w:val="center"/>
              <w:rPr>
                <w:rFonts w:asciiTheme="minorHAnsi" w:hAnsiTheme="minorHAnsi" w:cstheme="minorHAnsi"/>
                <w:b/>
                <w:bCs/>
                <w:color w:val="403F41"/>
                <w:sz w:val="18"/>
                <w:szCs w:val="18"/>
                <w:lang w:val="en-GB"/>
              </w:rPr>
            </w:pPr>
          </w:p>
        </w:tc>
      </w:tr>
    </w:tbl>
    <w:p w:rsidR="00743238" w:rsidRPr="00267DB0" w:rsidRDefault="00743238" w:rsidP="00743238">
      <w:pPr>
        <w:pStyle w:val="H3"/>
        <w:rPr>
          <w:rFonts w:asciiTheme="minorHAnsi" w:hAnsiTheme="minorHAnsi" w:cstheme="minorHAnsi"/>
        </w:rPr>
      </w:pPr>
      <w:r w:rsidRPr="00267DB0">
        <w:rPr>
          <w:rFonts w:asciiTheme="minorHAnsi" w:hAnsiTheme="minorHAnsi" w:cstheme="minorHAnsi"/>
        </w:rPr>
        <w:t xml:space="preserve">Rooms approved by Provider type </w:t>
      </w:r>
    </w:p>
    <w:tbl>
      <w:tblPr>
        <w:tblW w:w="0" w:type="auto"/>
        <w:tblInd w:w="-108"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000" w:firstRow="0" w:lastRow="0" w:firstColumn="0" w:lastColumn="0" w:noHBand="0" w:noVBand="0"/>
        <w:tblCaption w:val="Rooms approved by Provider type "/>
      </w:tblPr>
      <w:tblGrid>
        <w:gridCol w:w="2233"/>
        <w:gridCol w:w="1302"/>
        <w:gridCol w:w="1304"/>
        <w:gridCol w:w="1301"/>
        <w:gridCol w:w="1299"/>
        <w:gridCol w:w="1301"/>
        <w:gridCol w:w="1303"/>
      </w:tblGrid>
      <w:tr w:rsidR="00743238" w:rsidRPr="00743238" w:rsidTr="00D82E0F">
        <w:trPr>
          <w:trHeight w:val="118"/>
        </w:trPr>
        <w:tc>
          <w:tcPr>
            <w:tcW w:w="10041" w:type="dxa"/>
            <w:gridSpan w:val="7"/>
            <w:shd w:val="clear" w:color="auto" w:fill="0097AB"/>
          </w:tcPr>
          <w:p w:rsidR="00743238" w:rsidRPr="00267DB0" w:rsidRDefault="00743238" w:rsidP="00743238">
            <w:pPr>
              <w:pStyle w:val="Tabletext"/>
              <w:rPr>
                <w:rFonts w:asciiTheme="minorHAnsi" w:hAnsiTheme="minorHAnsi" w:cstheme="minorHAnsi"/>
                <w:b/>
                <w:bCs/>
                <w:lang w:val="en-GB"/>
              </w:rPr>
            </w:pPr>
            <w:r w:rsidRPr="00D82E0F">
              <w:rPr>
                <w:rFonts w:asciiTheme="minorHAnsi" w:hAnsiTheme="minorHAnsi" w:cstheme="minorHAnsi"/>
                <w:b/>
                <w:bCs/>
                <w:color w:val="FFFFFF" w:themeColor="background1"/>
                <w:lang w:val="en-GB"/>
              </w:rPr>
              <w:t xml:space="preserve">Rooms approved by number and percent (%) </w:t>
            </w:r>
          </w:p>
        </w:tc>
      </w:tr>
      <w:tr w:rsidR="00267DB0" w:rsidRPr="00743238" w:rsidTr="00D82E0F">
        <w:trPr>
          <w:trHeight w:val="117"/>
        </w:trPr>
        <w:tc>
          <w:tcPr>
            <w:tcW w:w="2233" w:type="dxa"/>
            <w:vMerge w:val="restart"/>
            <w:shd w:val="clear" w:color="auto" w:fill="E5FFFA"/>
          </w:tcPr>
          <w:p w:rsidR="00743238" w:rsidRPr="00267DB0" w:rsidRDefault="00743238" w:rsidP="00743238">
            <w:pPr>
              <w:pStyle w:val="Tabletext"/>
              <w:rPr>
                <w:rFonts w:asciiTheme="minorHAnsi" w:hAnsiTheme="minorHAnsi" w:cstheme="minorHAnsi"/>
                <w:b/>
                <w:bCs/>
                <w:lang w:val="en-GB"/>
              </w:rPr>
            </w:pPr>
            <w:r w:rsidRPr="00267DB0">
              <w:rPr>
                <w:rFonts w:asciiTheme="minorHAnsi" w:hAnsiTheme="minorHAnsi" w:cstheme="minorHAnsi"/>
                <w:b/>
                <w:bCs/>
                <w:lang w:val="en-GB"/>
              </w:rPr>
              <w:t xml:space="preserve">Provider Type </w:t>
            </w:r>
          </w:p>
        </w:tc>
        <w:tc>
          <w:tcPr>
            <w:tcW w:w="2606" w:type="dxa"/>
            <w:gridSpan w:val="2"/>
            <w:shd w:val="clear" w:color="auto" w:fill="E5FFFA"/>
          </w:tcPr>
          <w:p w:rsidR="00743238" w:rsidRPr="00267DB0" w:rsidRDefault="00743238" w:rsidP="00267DB0">
            <w:pPr>
              <w:pStyle w:val="Tabletext"/>
              <w:jc w:val="center"/>
              <w:rPr>
                <w:rFonts w:asciiTheme="minorHAnsi" w:hAnsiTheme="minorHAnsi" w:cstheme="minorHAnsi"/>
                <w:b/>
                <w:bCs/>
                <w:lang w:val="en-GB"/>
              </w:rPr>
            </w:pPr>
            <w:r w:rsidRPr="00267DB0">
              <w:rPr>
                <w:rFonts w:asciiTheme="minorHAnsi" w:hAnsiTheme="minorHAnsi" w:cstheme="minorHAnsi"/>
                <w:b/>
                <w:bCs/>
                <w:lang w:val="en-GB"/>
              </w:rPr>
              <w:t>2016-2017</w:t>
            </w:r>
          </w:p>
        </w:tc>
        <w:tc>
          <w:tcPr>
            <w:tcW w:w="2600" w:type="dxa"/>
            <w:gridSpan w:val="2"/>
            <w:shd w:val="clear" w:color="auto" w:fill="E5FFFA"/>
          </w:tcPr>
          <w:p w:rsidR="00743238" w:rsidRPr="00267DB0" w:rsidRDefault="00743238" w:rsidP="00267DB0">
            <w:pPr>
              <w:pStyle w:val="Tabletext"/>
              <w:jc w:val="center"/>
              <w:rPr>
                <w:rFonts w:asciiTheme="minorHAnsi" w:hAnsiTheme="minorHAnsi" w:cstheme="minorHAnsi"/>
                <w:b/>
                <w:bCs/>
                <w:lang w:val="en-GB"/>
              </w:rPr>
            </w:pPr>
            <w:r w:rsidRPr="00267DB0">
              <w:rPr>
                <w:rFonts w:asciiTheme="minorHAnsi" w:hAnsiTheme="minorHAnsi" w:cstheme="minorHAnsi"/>
                <w:b/>
                <w:bCs/>
                <w:lang w:val="en-GB"/>
              </w:rPr>
              <w:t>2017-2018</w:t>
            </w:r>
          </w:p>
        </w:tc>
        <w:tc>
          <w:tcPr>
            <w:tcW w:w="2602" w:type="dxa"/>
            <w:gridSpan w:val="2"/>
            <w:shd w:val="clear" w:color="auto" w:fill="E5FFFA"/>
          </w:tcPr>
          <w:p w:rsidR="00743238" w:rsidRPr="00267DB0" w:rsidRDefault="00743238" w:rsidP="00267DB0">
            <w:pPr>
              <w:pStyle w:val="Tabletext"/>
              <w:jc w:val="center"/>
              <w:rPr>
                <w:rFonts w:asciiTheme="minorHAnsi" w:hAnsiTheme="minorHAnsi" w:cstheme="minorHAnsi"/>
                <w:b/>
                <w:bCs/>
                <w:lang w:val="en-GB"/>
              </w:rPr>
            </w:pPr>
            <w:r w:rsidRPr="00267DB0">
              <w:rPr>
                <w:rFonts w:asciiTheme="minorHAnsi" w:hAnsiTheme="minorHAnsi" w:cstheme="minorHAnsi"/>
                <w:b/>
                <w:bCs/>
                <w:lang w:val="en-GB"/>
              </w:rPr>
              <w:t>2018-2019</w:t>
            </w:r>
          </w:p>
        </w:tc>
      </w:tr>
      <w:tr w:rsidR="00267DB0" w:rsidRPr="00267DB0" w:rsidTr="00D82E0F">
        <w:trPr>
          <w:trHeight w:val="117"/>
        </w:trPr>
        <w:tc>
          <w:tcPr>
            <w:tcW w:w="2233" w:type="dxa"/>
            <w:vMerge/>
            <w:shd w:val="clear" w:color="auto" w:fill="E5FFFA"/>
          </w:tcPr>
          <w:p w:rsidR="00743238" w:rsidRPr="00267DB0" w:rsidRDefault="00743238" w:rsidP="00743238">
            <w:pPr>
              <w:pStyle w:val="Tabletext"/>
              <w:rPr>
                <w:rFonts w:asciiTheme="minorHAnsi" w:hAnsiTheme="minorHAnsi" w:cstheme="minorHAnsi"/>
                <w:b/>
                <w:bCs/>
                <w:lang w:val="en-GB"/>
              </w:rPr>
            </w:pPr>
          </w:p>
        </w:tc>
        <w:tc>
          <w:tcPr>
            <w:tcW w:w="1302" w:type="dxa"/>
            <w:shd w:val="clear" w:color="auto" w:fill="E5FFFA"/>
          </w:tcPr>
          <w:p w:rsidR="00743238" w:rsidRPr="00267DB0" w:rsidRDefault="00743238" w:rsidP="00267DB0">
            <w:pPr>
              <w:pStyle w:val="Tabletext"/>
              <w:jc w:val="right"/>
              <w:rPr>
                <w:rFonts w:asciiTheme="minorHAnsi" w:hAnsiTheme="minorHAnsi" w:cstheme="minorHAnsi"/>
                <w:b/>
                <w:bCs/>
                <w:lang w:val="en-GB"/>
              </w:rPr>
            </w:pPr>
            <w:r w:rsidRPr="00267DB0">
              <w:rPr>
                <w:rFonts w:asciiTheme="minorHAnsi" w:hAnsiTheme="minorHAnsi" w:cstheme="minorHAnsi"/>
                <w:b/>
                <w:bCs/>
                <w:lang w:val="en-GB"/>
              </w:rPr>
              <w:t xml:space="preserve">No. </w:t>
            </w:r>
          </w:p>
        </w:tc>
        <w:tc>
          <w:tcPr>
            <w:tcW w:w="1304" w:type="dxa"/>
            <w:shd w:val="clear" w:color="auto" w:fill="E5FFFA"/>
          </w:tcPr>
          <w:p w:rsidR="00743238" w:rsidRPr="00267DB0" w:rsidRDefault="00743238" w:rsidP="00267DB0">
            <w:pPr>
              <w:pStyle w:val="Tabletext"/>
              <w:jc w:val="right"/>
              <w:rPr>
                <w:rFonts w:asciiTheme="minorHAnsi" w:hAnsiTheme="minorHAnsi" w:cstheme="minorHAnsi"/>
                <w:b/>
                <w:bCs/>
                <w:lang w:val="en-GB"/>
              </w:rPr>
            </w:pPr>
            <w:r w:rsidRPr="00267DB0">
              <w:rPr>
                <w:rFonts w:asciiTheme="minorHAnsi" w:hAnsiTheme="minorHAnsi" w:cstheme="minorHAnsi"/>
                <w:b/>
                <w:bCs/>
                <w:lang w:val="en-GB"/>
              </w:rPr>
              <w:t xml:space="preserve">% </w:t>
            </w:r>
          </w:p>
        </w:tc>
        <w:tc>
          <w:tcPr>
            <w:tcW w:w="1301" w:type="dxa"/>
            <w:shd w:val="clear" w:color="auto" w:fill="E5FFFA"/>
          </w:tcPr>
          <w:p w:rsidR="00743238" w:rsidRPr="00267DB0" w:rsidRDefault="00743238" w:rsidP="00267DB0">
            <w:pPr>
              <w:pStyle w:val="Tabletext"/>
              <w:jc w:val="right"/>
              <w:rPr>
                <w:rFonts w:asciiTheme="minorHAnsi" w:hAnsiTheme="minorHAnsi" w:cstheme="minorHAnsi"/>
                <w:b/>
                <w:bCs/>
                <w:lang w:val="en-GB"/>
              </w:rPr>
            </w:pPr>
            <w:r w:rsidRPr="00267DB0">
              <w:rPr>
                <w:rFonts w:asciiTheme="minorHAnsi" w:hAnsiTheme="minorHAnsi" w:cstheme="minorHAnsi"/>
                <w:b/>
                <w:bCs/>
                <w:lang w:val="en-GB"/>
              </w:rPr>
              <w:t xml:space="preserve">No. </w:t>
            </w:r>
          </w:p>
        </w:tc>
        <w:tc>
          <w:tcPr>
            <w:tcW w:w="1299" w:type="dxa"/>
            <w:shd w:val="clear" w:color="auto" w:fill="E5FFFA"/>
          </w:tcPr>
          <w:p w:rsidR="00743238" w:rsidRPr="00267DB0" w:rsidRDefault="00743238" w:rsidP="00267DB0">
            <w:pPr>
              <w:pStyle w:val="Tabletext"/>
              <w:jc w:val="right"/>
              <w:rPr>
                <w:rFonts w:asciiTheme="minorHAnsi" w:hAnsiTheme="minorHAnsi" w:cstheme="minorHAnsi"/>
                <w:b/>
                <w:bCs/>
                <w:lang w:val="en-GB"/>
              </w:rPr>
            </w:pPr>
            <w:r w:rsidRPr="00267DB0">
              <w:rPr>
                <w:rFonts w:asciiTheme="minorHAnsi" w:hAnsiTheme="minorHAnsi" w:cstheme="minorHAnsi"/>
                <w:b/>
                <w:bCs/>
                <w:lang w:val="en-GB"/>
              </w:rPr>
              <w:t xml:space="preserve">% </w:t>
            </w:r>
          </w:p>
        </w:tc>
        <w:tc>
          <w:tcPr>
            <w:tcW w:w="1299" w:type="dxa"/>
            <w:shd w:val="clear" w:color="auto" w:fill="E5FFFA"/>
          </w:tcPr>
          <w:p w:rsidR="00743238" w:rsidRPr="00267DB0" w:rsidRDefault="00743238" w:rsidP="00267DB0">
            <w:pPr>
              <w:pStyle w:val="Tabletext"/>
              <w:jc w:val="right"/>
              <w:rPr>
                <w:rFonts w:asciiTheme="minorHAnsi" w:hAnsiTheme="minorHAnsi" w:cstheme="minorHAnsi"/>
                <w:b/>
                <w:bCs/>
                <w:lang w:val="en-GB"/>
              </w:rPr>
            </w:pPr>
            <w:r w:rsidRPr="00267DB0">
              <w:rPr>
                <w:rFonts w:asciiTheme="minorHAnsi" w:hAnsiTheme="minorHAnsi" w:cstheme="minorHAnsi"/>
                <w:b/>
                <w:bCs/>
                <w:lang w:val="en-GB"/>
              </w:rPr>
              <w:t xml:space="preserve">No. </w:t>
            </w:r>
          </w:p>
        </w:tc>
        <w:tc>
          <w:tcPr>
            <w:tcW w:w="1303" w:type="dxa"/>
            <w:shd w:val="clear" w:color="auto" w:fill="E5FFFA"/>
          </w:tcPr>
          <w:p w:rsidR="00743238" w:rsidRPr="00267DB0" w:rsidRDefault="00743238" w:rsidP="00267DB0">
            <w:pPr>
              <w:pStyle w:val="Tabletext"/>
              <w:jc w:val="right"/>
              <w:rPr>
                <w:rFonts w:asciiTheme="minorHAnsi" w:hAnsiTheme="minorHAnsi" w:cstheme="minorHAnsi"/>
                <w:b/>
                <w:bCs/>
                <w:lang w:val="en-GB"/>
              </w:rPr>
            </w:pPr>
            <w:r w:rsidRPr="00267DB0">
              <w:rPr>
                <w:rFonts w:asciiTheme="minorHAnsi" w:hAnsiTheme="minorHAnsi" w:cstheme="minorHAnsi"/>
                <w:b/>
                <w:bCs/>
                <w:lang w:val="en-GB"/>
              </w:rPr>
              <w:t xml:space="preserve">% </w:t>
            </w:r>
          </w:p>
        </w:tc>
      </w:tr>
      <w:tr w:rsidR="00267DB0" w:rsidRPr="00743238" w:rsidTr="00267DB0">
        <w:trPr>
          <w:trHeight w:val="108"/>
        </w:trPr>
        <w:tc>
          <w:tcPr>
            <w:tcW w:w="2233" w:type="dxa"/>
          </w:tcPr>
          <w:p w:rsidR="00743238" w:rsidRPr="00267DB0" w:rsidRDefault="00743238" w:rsidP="00743238">
            <w:pPr>
              <w:pStyle w:val="Tabletex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For Profit </w:t>
            </w:r>
          </w:p>
        </w:tc>
        <w:tc>
          <w:tcPr>
            <w:tcW w:w="1302"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3476 </w:t>
            </w:r>
          </w:p>
        </w:tc>
        <w:tc>
          <w:tcPr>
            <w:tcW w:w="1304"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48.04% </w:t>
            </w:r>
          </w:p>
        </w:tc>
        <w:tc>
          <w:tcPr>
            <w:tcW w:w="1301"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3594 </w:t>
            </w:r>
          </w:p>
        </w:tc>
        <w:tc>
          <w:tcPr>
            <w:tcW w:w="1299"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46.65% </w:t>
            </w:r>
          </w:p>
        </w:tc>
        <w:tc>
          <w:tcPr>
            <w:tcW w:w="1299"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5498 </w:t>
            </w:r>
          </w:p>
        </w:tc>
        <w:tc>
          <w:tcPr>
            <w:tcW w:w="1303"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67.73% </w:t>
            </w:r>
          </w:p>
        </w:tc>
      </w:tr>
      <w:tr w:rsidR="00267DB0" w:rsidRPr="00743238" w:rsidTr="00267DB0">
        <w:trPr>
          <w:trHeight w:val="108"/>
        </w:trPr>
        <w:tc>
          <w:tcPr>
            <w:tcW w:w="2233" w:type="dxa"/>
          </w:tcPr>
          <w:p w:rsidR="00743238" w:rsidRPr="00267DB0" w:rsidRDefault="00743238" w:rsidP="00743238">
            <w:pPr>
              <w:pStyle w:val="Tabletex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Not for Profit </w:t>
            </w:r>
          </w:p>
        </w:tc>
        <w:tc>
          <w:tcPr>
            <w:tcW w:w="1302"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3760 </w:t>
            </w:r>
          </w:p>
        </w:tc>
        <w:tc>
          <w:tcPr>
            <w:tcW w:w="1304"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51.96% </w:t>
            </w:r>
          </w:p>
        </w:tc>
        <w:tc>
          <w:tcPr>
            <w:tcW w:w="1301"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4111 </w:t>
            </w:r>
          </w:p>
        </w:tc>
        <w:tc>
          <w:tcPr>
            <w:tcW w:w="1299"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53.35% </w:t>
            </w:r>
          </w:p>
        </w:tc>
        <w:tc>
          <w:tcPr>
            <w:tcW w:w="1299"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2581 </w:t>
            </w:r>
          </w:p>
        </w:tc>
        <w:tc>
          <w:tcPr>
            <w:tcW w:w="1303"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31.80% </w:t>
            </w:r>
          </w:p>
        </w:tc>
      </w:tr>
      <w:tr w:rsidR="00267DB0" w:rsidRPr="00743238" w:rsidTr="00267DB0">
        <w:trPr>
          <w:trHeight w:val="108"/>
        </w:trPr>
        <w:tc>
          <w:tcPr>
            <w:tcW w:w="2233" w:type="dxa"/>
          </w:tcPr>
          <w:p w:rsidR="00743238" w:rsidRPr="00267DB0" w:rsidRDefault="00743238" w:rsidP="00743238">
            <w:pPr>
              <w:pStyle w:val="Tabletex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Government </w:t>
            </w:r>
          </w:p>
        </w:tc>
        <w:tc>
          <w:tcPr>
            <w:tcW w:w="1302"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0 </w:t>
            </w:r>
          </w:p>
        </w:tc>
        <w:tc>
          <w:tcPr>
            <w:tcW w:w="1304"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0.00% </w:t>
            </w:r>
          </w:p>
        </w:tc>
        <w:tc>
          <w:tcPr>
            <w:tcW w:w="1301"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0 </w:t>
            </w:r>
          </w:p>
        </w:tc>
        <w:tc>
          <w:tcPr>
            <w:tcW w:w="1299"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0.00% </w:t>
            </w:r>
          </w:p>
        </w:tc>
        <w:tc>
          <w:tcPr>
            <w:tcW w:w="1299"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38 </w:t>
            </w:r>
          </w:p>
        </w:tc>
        <w:tc>
          <w:tcPr>
            <w:tcW w:w="1303" w:type="dxa"/>
          </w:tcPr>
          <w:p w:rsidR="00743238" w:rsidRPr="00267DB0" w:rsidRDefault="00743238" w:rsidP="00267DB0">
            <w:pPr>
              <w:pStyle w:val="Tabletext"/>
              <w:jc w:val="right"/>
              <w:rPr>
                <w:rFonts w:asciiTheme="minorHAnsi" w:hAnsiTheme="minorHAnsi" w:cstheme="minorHAnsi"/>
                <w:color w:val="403F41"/>
                <w:sz w:val="18"/>
                <w:szCs w:val="18"/>
                <w:lang w:val="en-GB"/>
              </w:rPr>
            </w:pPr>
            <w:r w:rsidRPr="00267DB0">
              <w:rPr>
                <w:rFonts w:asciiTheme="minorHAnsi" w:hAnsiTheme="minorHAnsi" w:cstheme="minorHAnsi"/>
                <w:color w:val="403F41"/>
                <w:sz w:val="18"/>
                <w:szCs w:val="18"/>
                <w:lang w:val="en-GB"/>
              </w:rPr>
              <w:t xml:space="preserve">0.47% </w:t>
            </w:r>
          </w:p>
        </w:tc>
      </w:tr>
      <w:tr w:rsidR="00267DB0" w:rsidRPr="00743238" w:rsidTr="00267DB0">
        <w:trPr>
          <w:trHeight w:val="111"/>
        </w:trPr>
        <w:tc>
          <w:tcPr>
            <w:tcW w:w="2233" w:type="dxa"/>
          </w:tcPr>
          <w:p w:rsidR="00267DB0" w:rsidRPr="00267DB0" w:rsidRDefault="00267DB0" w:rsidP="00743238">
            <w:pPr>
              <w:pStyle w:val="Tabletext"/>
              <w:rPr>
                <w:rFonts w:asciiTheme="minorHAnsi" w:hAnsiTheme="minorHAnsi" w:cstheme="minorHAnsi"/>
                <w:b/>
                <w:bCs/>
                <w:color w:val="403F41"/>
                <w:sz w:val="18"/>
                <w:szCs w:val="18"/>
                <w:lang w:val="en-GB"/>
              </w:rPr>
            </w:pPr>
            <w:r w:rsidRPr="00267DB0">
              <w:rPr>
                <w:rFonts w:asciiTheme="minorHAnsi" w:hAnsiTheme="minorHAnsi" w:cstheme="minorHAnsi"/>
                <w:b/>
                <w:bCs/>
                <w:color w:val="403F41"/>
                <w:sz w:val="18"/>
                <w:szCs w:val="18"/>
                <w:lang w:val="en-GB"/>
              </w:rPr>
              <w:t xml:space="preserve">Total </w:t>
            </w:r>
          </w:p>
        </w:tc>
        <w:tc>
          <w:tcPr>
            <w:tcW w:w="1302" w:type="dxa"/>
          </w:tcPr>
          <w:p w:rsidR="00267DB0" w:rsidRPr="00267DB0" w:rsidRDefault="00267DB0" w:rsidP="00267DB0">
            <w:pPr>
              <w:pStyle w:val="Tabletext"/>
              <w:jc w:val="right"/>
              <w:rPr>
                <w:rFonts w:asciiTheme="minorHAnsi" w:hAnsiTheme="minorHAnsi" w:cstheme="minorHAnsi"/>
                <w:b/>
                <w:bCs/>
                <w:color w:val="403F41"/>
                <w:sz w:val="18"/>
                <w:szCs w:val="18"/>
                <w:lang w:val="en-GB"/>
              </w:rPr>
            </w:pPr>
            <w:r w:rsidRPr="00267DB0">
              <w:rPr>
                <w:rFonts w:asciiTheme="minorHAnsi" w:hAnsiTheme="minorHAnsi" w:cstheme="minorHAnsi"/>
                <w:b/>
                <w:bCs/>
                <w:color w:val="403F41"/>
                <w:sz w:val="18"/>
                <w:szCs w:val="18"/>
                <w:lang w:val="en-GB"/>
              </w:rPr>
              <w:t>7236</w:t>
            </w:r>
          </w:p>
        </w:tc>
        <w:tc>
          <w:tcPr>
            <w:tcW w:w="1304" w:type="dxa"/>
          </w:tcPr>
          <w:p w:rsidR="00267DB0" w:rsidRPr="00267DB0" w:rsidRDefault="00267DB0" w:rsidP="00267DB0">
            <w:pPr>
              <w:pStyle w:val="Tabletext"/>
              <w:jc w:val="right"/>
              <w:rPr>
                <w:rFonts w:asciiTheme="minorHAnsi" w:hAnsiTheme="minorHAnsi" w:cstheme="minorHAnsi"/>
                <w:b/>
                <w:bCs/>
                <w:color w:val="403F41"/>
                <w:sz w:val="18"/>
                <w:szCs w:val="18"/>
                <w:lang w:val="en-GB"/>
              </w:rPr>
            </w:pPr>
          </w:p>
        </w:tc>
        <w:tc>
          <w:tcPr>
            <w:tcW w:w="1301" w:type="dxa"/>
          </w:tcPr>
          <w:p w:rsidR="00267DB0" w:rsidRPr="00267DB0" w:rsidRDefault="00267DB0" w:rsidP="00267DB0">
            <w:pPr>
              <w:pStyle w:val="Tabletext"/>
              <w:jc w:val="right"/>
              <w:rPr>
                <w:rFonts w:asciiTheme="minorHAnsi" w:hAnsiTheme="minorHAnsi" w:cstheme="minorHAnsi"/>
                <w:b/>
                <w:bCs/>
                <w:color w:val="403F41"/>
                <w:sz w:val="18"/>
                <w:szCs w:val="18"/>
                <w:lang w:val="en-GB"/>
              </w:rPr>
            </w:pPr>
            <w:r w:rsidRPr="00267DB0">
              <w:rPr>
                <w:rFonts w:asciiTheme="minorHAnsi" w:hAnsiTheme="minorHAnsi" w:cstheme="minorHAnsi"/>
                <w:b/>
                <w:bCs/>
                <w:color w:val="403F41"/>
                <w:sz w:val="18"/>
                <w:szCs w:val="18"/>
                <w:lang w:val="en-GB"/>
              </w:rPr>
              <w:t>7705</w:t>
            </w:r>
          </w:p>
        </w:tc>
        <w:tc>
          <w:tcPr>
            <w:tcW w:w="1299" w:type="dxa"/>
          </w:tcPr>
          <w:p w:rsidR="00267DB0" w:rsidRPr="00267DB0" w:rsidRDefault="00267DB0" w:rsidP="00267DB0">
            <w:pPr>
              <w:pStyle w:val="Tabletext"/>
              <w:jc w:val="right"/>
              <w:rPr>
                <w:rFonts w:asciiTheme="minorHAnsi" w:hAnsiTheme="minorHAnsi" w:cstheme="minorHAnsi"/>
                <w:b/>
                <w:bCs/>
                <w:color w:val="403F41"/>
                <w:sz w:val="18"/>
                <w:szCs w:val="18"/>
                <w:lang w:val="en-GB"/>
              </w:rPr>
            </w:pPr>
          </w:p>
        </w:tc>
        <w:tc>
          <w:tcPr>
            <w:tcW w:w="1301" w:type="dxa"/>
          </w:tcPr>
          <w:p w:rsidR="00267DB0" w:rsidRPr="00267DB0" w:rsidRDefault="00267DB0" w:rsidP="00267DB0">
            <w:pPr>
              <w:pStyle w:val="Tabletext"/>
              <w:jc w:val="right"/>
              <w:rPr>
                <w:rFonts w:asciiTheme="minorHAnsi" w:hAnsiTheme="minorHAnsi" w:cstheme="minorHAnsi"/>
                <w:b/>
                <w:bCs/>
                <w:color w:val="403F41"/>
                <w:sz w:val="18"/>
                <w:szCs w:val="18"/>
                <w:lang w:val="en-GB"/>
              </w:rPr>
            </w:pPr>
            <w:r w:rsidRPr="00267DB0">
              <w:rPr>
                <w:rFonts w:asciiTheme="minorHAnsi" w:hAnsiTheme="minorHAnsi" w:cstheme="minorHAnsi"/>
                <w:b/>
                <w:bCs/>
                <w:color w:val="403F41"/>
                <w:sz w:val="18"/>
                <w:szCs w:val="18"/>
                <w:lang w:val="en-GB"/>
              </w:rPr>
              <w:t>8117</w:t>
            </w:r>
          </w:p>
        </w:tc>
        <w:tc>
          <w:tcPr>
            <w:tcW w:w="1301" w:type="dxa"/>
          </w:tcPr>
          <w:p w:rsidR="00267DB0" w:rsidRPr="00267DB0" w:rsidRDefault="00267DB0" w:rsidP="00267DB0">
            <w:pPr>
              <w:pStyle w:val="Tabletext"/>
              <w:jc w:val="right"/>
              <w:rPr>
                <w:rFonts w:asciiTheme="minorHAnsi" w:hAnsiTheme="minorHAnsi" w:cstheme="minorHAnsi"/>
                <w:b/>
                <w:bCs/>
                <w:color w:val="403F41"/>
                <w:sz w:val="18"/>
                <w:szCs w:val="18"/>
                <w:lang w:val="en-GB"/>
              </w:rPr>
            </w:pPr>
          </w:p>
        </w:tc>
      </w:tr>
    </w:tbl>
    <w:p w:rsidR="00BD4396" w:rsidRDefault="00BD4396" w:rsidP="00743238">
      <w:pPr>
        <w:pStyle w:val="H2"/>
        <w:rPr>
          <w:rFonts w:asciiTheme="minorHAnsi" w:hAnsiTheme="minorHAnsi" w:cstheme="minorHAnsi"/>
        </w:rPr>
      </w:pPr>
    </w:p>
    <w:p w:rsidR="00BD4396" w:rsidRDefault="00BD4396">
      <w:pPr>
        <w:rPr>
          <w:rFonts w:eastAsiaTheme="majorEastAsia" w:cstheme="minorHAnsi"/>
          <w:color w:val="ED7D31" w:themeColor="accent2"/>
          <w:sz w:val="28"/>
          <w:lang w:val="en-GB"/>
        </w:rPr>
      </w:pPr>
      <w:r>
        <w:rPr>
          <w:rFonts w:cstheme="minorHAnsi"/>
        </w:rPr>
        <w:br w:type="page"/>
      </w:r>
    </w:p>
    <w:p w:rsidR="00743238" w:rsidRPr="00267DB0" w:rsidRDefault="00743238" w:rsidP="00743238">
      <w:pPr>
        <w:pStyle w:val="H2"/>
        <w:rPr>
          <w:rFonts w:asciiTheme="minorHAnsi" w:hAnsiTheme="minorHAnsi" w:cstheme="minorHAnsi"/>
        </w:rPr>
      </w:pPr>
      <w:r w:rsidRPr="00267DB0">
        <w:rPr>
          <w:rFonts w:asciiTheme="minorHAnsi" w:hAnsiTheme="minorHAnsi" w:cstheme="minorHAnsi"/>
        </w:rPr>
        <w:lastRenderedPageBreak/>
        <w:t xml:space="preserve">Applications for Extra Services Fees </w:t>
      </w:r>
    </w:p>
    <w:p w:rsidR="00743238" w:rsidRPr="00267DB0" w:rsidRDefault="00743238" w:rsidP="00743238">
      <w:pPr>
        <w:pStyle w:val="BodyText1"/>
        <w:rPr>
          <w:rFonts w:asciiTheme="minorHAnsi" w:hAnsiTheme="minorHAnsi" w:cstheme="minorHAnsi"/>
          <w:lang w:val="en-GB"/>
        </w:rPr>
      </w:pPr>
      <w:r w:rsidRPr="00267DB0">
        <w:rPr>
          <w:rFonts w:asciiTheme="minorHAnsi" w:hAnsiTheme="minorHAnsi" w:cstheme="minorHAnsi"/>
          <w:lang w:val="en-GB"/>
        </w:rPr>
        <w:t xml:space="preserve">In 2018/19 The Aged Care Pricing Commissioner received 53 applications for changes to Extra Service Fees. In contrast, in the previous financial year 2017/18 the Aged Care Pricing Commissioner received 45 Extra Service Fee applications. </w:t>
      </w:r>
    </w:p>
    <w:p w:rsidR="00D95663" w:rsidRPr="00267DB0" w:rsidRDefault="00743238" w:rsidP="00743238">
      <w:pPr>
        <w:pStyle w:val="BodyText1"/>
        <w:rPr>
          <w:rFonts w:asciiTheme="minorHAnsi" w:hAnsiTheme="minorHAnsi" w:cstheme="minorHAnsi"/>
          <w:lang w:val="en-GB"/>
        </w:rPr>
      </w:pPr>
      <w:r w:rsidRPr="00267DB0">
        <w:rPr>
          <w:rFonts w:asciiTheme="minorHAnsi" w:hAnsiTheme="minorHAnsi" w:cstheme="minorHAnsi"/>
          <w:lang w:val="en-GB"/>
        </w:rPr>
        <w:t>Of the 53 applications for changes to Extra Service Fees this year, the Aged Care Pricing Commissioner approved 50 applications, 2 were withdrawn and 1 fell into the next financial year 2019/20. The average number of days to approve an application for changes to an Extra Service Fee this year was 23 days.</w:t>
      </w:r>
    </w:p>
    <w:p w:rsidR="00743238" w:rsidRPr="00267DB0" w:rsidRDefault="00743238" w:rsidP="00743238">
      <w:pPr>
        <w:pStyle w:val="BodyText1"/>
        <w:rPr>
          <w:rFonts w:asciiTheme="minorHAnsi" w:hAnsiTheme="minorHAnsi" w:cstheme="minorHAnsi"/>
        </w:rPr>
      </w:pPr>
      <w:r w:rsidRPr="00267DB0">
        <w:rPr>
          <w:rFonts w:asciiTheme="minorHAnsi" w:hAnsiTheme="minorHAnsi" w:cstheme="minorHAnsi"/>
        </w:rPr>
        <w:t>Extra Service Fees involve the provision of a significantly higher standard of accommodation, food and services to care recipients. A Provider with Extra Service status can apply to the Aged Care Pricing Commissioner to change the fee every 12 months. The maximum amount that the Extra Service fee can increase is 20% plus movements in the relevant CPI figure. In considering applications for a change to Extra Service Fees, the Aged Care Pricing Commissioner looks at a number of factors, including the food options, entertainment options, enhanced personal services, specific products and organised outings.</w:t>
      </w:r>
    </w:p>
    <w:p w:rsidR="00267DB0" w:rsidRDefault="00267DB0">
      <w:pPr>
        <w:rPr>
          <w:rStyle w:val="A6"/>
          <w:rFonts w:cstheme="minorHAnsi"/>
          <w:bCs w:val="0"/>
          <w:color w:val="auto"/>
          <w:szCs w:val="32"/>
        </w:rPr>
      </w:pPr>
      <w:r>
        <w:rPr>
          <w:rStyle w:val="A6"/>
          <w:rFonts w:cstheme="minorHAnsi"/>
          <w:b w:val="0"/>
          <w:bCs w:val="0"/>
          <w:color w:val="auto"/>
          <w:szCs w:val="32"/>
        </w:rPr>
        <w:br w:type="page"/>
      </w:r>
    </w:p>
    <w:p w:rsidR="00743238" w:rsidRPr="00267DB0" w:rsidRDefault="00743238" w:rsidP="00743238">
      <w:pPr>
        <w:pStyle w:val="H1left"/>
        <w:rPr>
          <w:rStyle w:val="A6"/>
          <w:rFonts w:asciiTheme="minorHAnsi" w:hAnsiTheme="minorHAnsi" w:cstheme="minorHAnsi"/>
          <w:b/>
          <w:bCs w:val="0"/>
          <w:color w:val="auto"/>
          <w:szCs w:val="32"/>
        </w:rPr>
      </w:pPr>
      <w:r w:rsidRPr="00267DB0">
        <w:rPr>
          <w:rStyle w:val="A6"/>
          <w:rFonts w:asciiTheme="minorHAnsi" w:hAnsiTheme="minorHAnsi" w:cstheme="minorHAnsi"/>
          <w:b/>
          <w:bCs w:val="0"/>
          <w:color w:val="auto"/>
          <w:szCs w:val="32"/>
        </w:rPr>
        <w:lastRenderedPageBreak/>
        <w:t>About the Office of the Aged Care Pricing Commissioner</w:t>
      </w:r>
    </w:p>
    <w:p w:rsidR="00743238" w:rsidRPr="00267DB0" w:rsidRDefault="00743238" w:rsidP="00743238">
      <w:pPr>
        <w:pStyle w:val="H2"/>
        <w:rPr>
          <w:rFonts w:asciiTheme="minorHAnsi" w:hAnsiTheme="minorHAnsi" w:cstheme="minorHAnsi"/>
        </w:rPr>
      </w:pPr>
      <w:r w:rsidRPr="00267DB0">
        <w:rPr>
          <w:rFonts w:asciiTheme="minorHAnsi" w:hAnsiTheme="minorHAnsi" w:cstheme="minorHAnsi"/>
        </w:rPr>
        <w:t xml:space="preserve">Internal and External Review </w:t>
      </w:r>
    </w:p>
    <w:p w:rsidR="00743238" w:rsidRPr="00267DB0" w:rsidRDefault="00743238" w:rsidP="00743238">
      <w:pPr>
        <w:pStyle w:val="BodyText1"/>
        <w:rPr>
          <w:rFonts w:asciiTheme="minorHAnsi" w:hAnsiTheme="minorHAnsi" w:cstheme="minorHAnsi"/>
          <w:lang w:val="en-GB"/>
        </w:rPr>
      </w:pPr>
      <w:r w:rsidRPr="00267DB0">
        <w:rPr>
          <w:rFonts w:asciiTheme="minorHAnsi" w:hAnsiTheme="minorHAnsi" w:cstheme="minorHAnsi"/>
          <w:lang w:val="en-GB"/>
        </w:rPr>
        <w:t xml:space="preserve">Decisions made by the Aged Care Pricing Commissioner in relation to both applications for Refundable Accommodation Deposits and Extra Service Fees are reviewable decisions under the </w:t>
      </w:r>
      <w:r w:rsidRPr="00267DB0">
        <w:rPr>
          <w:rFonts w:asciiTheme="minorHAnsi" w:hAnsiTheme="minorHAnsi" w:cstheme="minorHAnsi"/>
          <w:i/>
          <w:iCs/>
          <w:lang w:val="en-GB"/>
        </w:rPr>
        <w:t>Aged Care Act 1997</w:t>
      </w:r>
      <w:r w:rsidRPr="00267DB0">
        <w:rPr>
          <w:rFonts w:asciiTheme="minorHAnsi" w:hAnsiTheme="minorHAnsi" w:cstheme="minorHAnsi"/>
          <w:lang w:val="en-GB"/>
        </w:rPr>
        <w:t xml:space="preserve">. In 2018/19 no person or body sought internal review. If an internal review is undertaken the original decision can be affirmed, varied or a new decision made. However, an affected person can seek external review by lodging an appeal with the Administrative Appeals Tribunal. </w:t>
      </w:r>
    </w:p>
    <w:p w:rsidR="00743238" w:rsidRPr="00267DB0" w:rsidRDefault="00743238" w:rsidP="00743238">
      <w:pPr>
        <w:pStyle w:val="H2"/>
        <w:rPr>
          <w:rFonts w:asciiTheme="minorHAnsi" w:hAnsiTheme="minorHAnsi" w:cstheme="minorHAnsi"/>
        </w:rPr>
      </w:pPr>
      <w:r w:rsidRPr="00267DB0">
        <w:rPr>
          <w:rFonts w:asciiTheme="minorHAnsi" w:hAnsiTheme="minorHAnsi" w:cstheme="minorHAnsi"/>
        </w:rPr>
        <w:t xml:space="preserve">Freedom of Information Requests </w:t>
      </w:r>
    </w:p>
    <w:p w:rsidR="00743238" w:rsidRPr="00267DB0" w:rsidRDefault="00743238" w:rsidP="00743238">
      <w:pPr>
        <w:pStyle w:val="BodyText1"/>
        <w:rPr>
          <w:rFonts w:asciiTheme="minorHAnsi" w:hAnsiTheme="minorHAnsi" w:cstheme="minorHAnsi"/>
          <w:lang w:val="en-GB"/>
        </w:rPr>
      </w:pPr>
      <w:r w:rsidRPr="00267DB0">
        <w:rPr>
          <w:rFonts w:asciiTheme="minorHAnsi" w:hAnsiTheme="minorHAnsi" w:cstheme="minorHAnsi"/>
          <w:lang w:val="en-GB"/>
        </w:rPr>
        <w:t xml:space="preserve">The Aged Care Pricing Commissioner received no Freedom of Information requests during 2018/19. The Aged Care Pricing Commissioner provides an Information Publication Scheme entry and Freedom of Information Disclosure Log on the Aged Care Pricing Commissioner’s website. </w:t>
      </w:r>
    </w:p>
    <w:p w:rsidR="00743238" w:rsidRPr="00267DB0" w:rsidRDefault="00743238" w:rsidP="00743238">
      <w:pPr>
        <w:pStyle w:val="H2"/>
        <w:rPr>
          <w:rFonts w:asciiTheme="minorHAnsi" w:hAnsiTheme="minorHAnsi" w:cstheme="minorHAnsi"/>
        </w:rPr>
      </w:pPr>
      <w:r w:rsidRPr="00267DB0">
        <w:rPr>
          <w:rFonts w:asciiTheme="minorHAnsi" w:hAnsiTheme="minorHAnsi" w:cstheme="minorHAnsi"/>
        </w:rPr>
        <w:t xml:space="preserve">Corporate Governance </w:t>
      </w:r>
    </w:p>
    <w:p w:rsidR="00743238" w:rsidRPr="00267DB0" w:rsidRDefault="00743238" w:rsidP="00743238">
      <w:pPr>
        <w:pStyle w:val="BodyText1"/>
        <w:rPr>
          <w:rFonts w:asciiTheme="minorHAnsi" w:hAnsiTheme="minorHAnsi" w:cstheme="minorHAnsi"/>
          <w:lang w:val="en-GB"/>
        </w:rPr>
      </w:pPr>
      <w:r w:rsidRPr="00267DB0">
        <w:rPr>
          <w:rFonts w:asciiTheme="minorHAnsi" w:hAnsiTheme="minorHAnsi" w:cstheme="minorHAnsi"/>
          <w:lang w:val="en-GB"/>
        </w:rPr>
        <w:t xml:space="preserve">The Aged Care Pricing Commissioner’s spending of public money is regulated by the </w:t>
      </w:r>
      <w:r w:rsidRPr="00267DB0">
        <w:rPr>
          <w:rFonts w:asciiTheme="minorHAnsi" w:hAnsiTheme="minorHAnsi" w:cstheme="minorHAnsi"/>
          <w:i/>
          <w:iCs/>
          <w:lang w:val="en-GB"/>
        </w:rPr>
        <w:t xml:space="preserve">Financial Management and Accountability Act 1997 </w:t>
      </w:r>
      <w:r w:rsidRPr="00267DB0">
        <w:rPr>
          <w:rFonts w:asciiTheme="minorHAnsi" w:hAnsiTheme="minorHAnsi" w:cstheme="minorHAnsi"/>
          <w:lang w:val="en-GB"/>
        </w:rPr>
        <w:t xml:space="preserve">and </w:t>
      </w:r>
      <w:r w:rsidRPr="00267DB0">
        <w:rPr>
          <w:rFonts w:asciiTheme="minorHAnsi" w:hAnsiTheme="minorHAnsi" w:cstheme="minorHAnsi"/>
          <w:i/>
          <w:iCs/>
          <w:lang w:val="en-GB"/>
        </w:rPr>
        <w:t xml:space="preserve">Financial Management and Accountability Regulations 1997. </w:t>
      </w:r>
      <w:r w:rsidRPr="00267DB0">
        <w:rPr>
          <w:rFonts w:asciiTheme="minorHAnsi" w:hAnsiTheme="minorHAnsi" w:cstheme="minorHAnsi"/>
          <w:lang w:val="en-GB"/>
        </w:rPr>
        <w:t xml:space="preserve">Spending must comply with the Commonwealth Procurement Rules. </w:t>
      </w:r>
    </w:p>
    <w:p w:rsidR="00743238" w:rsidRPr="00267DB0" w:rsidRDefault="00743238" w:rsidP="00743238">
      <w:pPr>
        <w:pStyle w:val="BodyText1"/>
        <w:rPr>
          <w:rFonts w:asciiTheme="minorHAnsi" w:hAnsiTheme="minorHAnsi" w:cstheme="minorHAnsi"/>
          <w:i/>
          <w:iCs/>
          <w:lang w:val="en-GB"/>
        </w:rPr>
      </w:pPr>
      <w:r w:rsidRPr="00267DB0">
        <w:rPr>
          <w:rFonts w:asciiTheme="minorHAnsi" w:hAnsiTheme="minorHAnsi" w:cstheme="minorHAnsi"/>
          <w:lang w:val="en-GB"/>
        </w:rPr>
        <w:t xml:space="preserve">The Aged Care Pricing Commissioner exercises expenditure powers under delegation from the Secretary of the Department of Health, pursuant to the </w:t>
      </w:r>
      <w:r w:rsidRPr="00267DB0">
        <w:rPr>
          <w:rFonts w:asciiTheme="minorHAnsi" w:hAnsiTheme="minorHAnsi" w:cstheme="minorHAnsi"/>
          <w:i/>
          <w:iCs/>
          <w:lang w:val="en-GB"/>
        </w:rPr>
        <w:t>Public Governance, Performance and Accountability Act 2013.</w:t>
      </w:r>
    </w:p>
    <w:p w:rsidR="00743238" w:rsidRPr="00267DB0" w:rsidRDefault="00743238" w:rsidP="00743238">
      <w:pPr>
        <w:pStyle w:val="H2"/>
        <w:rPr>
          <w:rFonts w:asciiTheme="minorHAnsi" w:hAnsiTheme="minorHAnsi" w:cstheme="minorHAnsi"/>
        </w:rPr>
      </w:pPr>
      <w:r w:rsidRPr="00267DB0">
        <w:rPr>
          <w:rFonts w:asciiTheme="minorHAnsi" w:hAnsiTheme="minorHAnsi" w:cstheme="minorHAnsi"/>
        </w:rPr>
        <w:t xml:space="preserve">Budget and Staffing </w:t>
      </w:r>
    </w:p>
    <w:p w:rsidR="00743238" w:rsidRPr="00267DB0" w:rsidRDefault="00743238" w:rsidP="00743238">
      <w:pPr>
        <w:pStyle w:val="BodyText1"/>
        <w:rPr>
          <w:rFonts w:asciiTheme="minorHAnsi" w:hAnsiTheme="minorHAnsi" w:cstheme="minorHAnsi"/>
          <w:lang w:val="en-GB"/>
        </w:rPr>
      </w:pPr>
      <w:r w:rsidRPr="00267DB0">
        <w:rPr>
          <w:rFonts w:asciiTheme="minorHAnsi" w:hAnsiTheme="minorHAnsi" w:cstheme="minorHAnsi"/>
          <w:lang w:val="en-GB"/>
        </w:rPr>
        <w:t xml:space="preserve">The Office of the Aged Care Pricing Commissioner is supported by a team of 4 Assessors, 1 Data Analyst and 1 Executive Assistant. </w:t>
      </w:r>
    </w:p>
    <w:p w:rsidR="00743238" w:rsidRPr="00267DB0" w:rsidRDefault="00743238" w:rsidP="00743238">
      <w:pPr>
        <w:pStyle w:val="BodyText1"/>
        <w:rPr>
          <w:rFonts w:asciiTheme="minorHAnsi" w:hAnsiTheme="minorHAnsi" w:cstheme="minorHAnsi"/>
          <w:lang w:val="en-GB"/>
        </w:rPr>
      </w:pPr>
      <w:r w:rsidRPr="00267DB0">
        <w:rPr>
          <w:rFonts w:asciiTheme="minorHAnsi" w:hAnsiTheme="minorHAnsi" w:cstheme="minorHAnsi"/>
          <w:lang w:val="en-GB"/>
        </w:rPr>
        <w:t xml:space="preserve">The Aged Care Pricing Commissioner’s budget for 2018/19 was $1,004,000 which included salaries, contractor costs, Commissioner’s remuneration and travel expenses. </w:t>
      </w:r>
    </w:p>
    <w:p w:rsidR="00743238" w:rsidRPr="00267DB0" w:rsidRDefault="00743238" w:rsidP="00743238">
      <w:pPr>
        <w:pStyle w:val="H2"/>
        <w:rPr>
          <w:rFonts w:asciiTheme="minorHAnsi" w:hAnsiTheme="minorHAnsi" w:cstheme="minorHAnsi"/>
        </w:rPr>
      </w:pPr>
      <w:r w:rsidRPr="00267DB0">
        <w:rPr>
          <w:rFonts w:asciiTheme="minorHAnsi" w:hAnsiTheme="minorHAnsi" w:cstheme="minorHAnsi"/>
        </w:rPr>
        <w:t xml:space="preserve">Aged Care Financing Authority </w:t>
      </w:r>
    </w:p>
    <w:p w:rsidR="00743238" w:rsidRPr="00267DB0" w:rsidRDefault="00743238" w:rsidP="00743238">
      <w:pPr>
        <w:pStyle w:val="BodyText1"/>
        <w:rPr>
          <w:rFonts w:asciiTheme="minorHAnsi" w:hAnsiTheme="minorHAnsi" w:cstheme="minorHAnsi"/>
          <w:lang w:val="en-GB"/>
        </w:rPr>
      </w:pPr>
      <w:r w:rsidRPr="00267DB0">
        <w:rPr>
          <w:rFonts w:asciiTheme="minorHAnsi" w:hAnsiTheme="minorHAnsi" w:cstheme="minorHAnsi"/>
          <w:lang w:val="en-GB"/>
        </w:rPr>
        <w:t xml:space="preserve">As Aged Care Pricing Commissioner I have the great privilege and honour to be a Government Representative on the Aged Care Financing Authority (ACFA). This enables me to see the myriad of issues facing the Aged Care Industry in Australia and to learn from distinguished and experienced ACFA members. I look forward to this continued involvement with ACFA and examining what is required for the Australian Aged Care Industry from a financing and funding point of </w:t>
      </w:r>
      <w:r w:rsidRPr="00267DB0">
        <w:rPr>
          <w:rFonts w:asciiTheme="minorHAnsi" w:hAnsiTheme="minorHAnsi" w:cstheme="minorHAnsi"/>
        </w:rPr>
        <w:t>view</w:t>
      </w:r>
      <w:r w:rsidRPr="00267DB0">
        <w:rPr>
          <w:rFonts w:asciiTheme="minorHAnsi" w:hAnsiTheme="minorHAnsi" w:cstheme="minorHAnsi"/>
          <w:lang w:val="en-GB"/>
        </w:rPr>
        <w:t>.</w:t>
      </w:r>
    </w:p>
    <w:p w:rsidR="00267DB0" w:rsidRDefault="00267DB0">
      <w:pPr>
        <w:rPr>
          <w:rFonts w:cstheme="minorHAnsi"/>
          <w:b/>
          <w:sz w:val="40"/>
          <w:szCs w:val="32"/>
          <w:lang w:val="en-GB"/>
        </w:rPr>
      </w:pPr>
      <w:r>
        <w:rPr>
          <w:rFonts w:cstheme="minorHAnsi"/>
          <w:lang w:val="en-GB"/>
        </w:rPr>
        <w:br w:type="page"/>
      </w:r>
    </w:p>
    <w:p w:rsidR="00743238" w:rsidRPr="00267DB0" w:rsidRDefault="00743238" w:rsidP="00743238">
      <w:pPr>
        <w:pStyle w:val="H1left"/>
        <w:rPr>
          <w:rFonts w:asciiTheme="minorHAnsi" w:hAnsiTheme="minorHAnsi" w:cstheme="minorHAnsi"/>
          <w:lang w:val="en-GB"/>
        </w:rPr>
      </w:pPr>
      <w:r w:rsidRPr="00267DB0">
        <w:rPr>
          <w:rFonts w:asciiTheme="minorHAnsi" w:hAnsiTheme="minorHAnsi" w:cstheme="minorHAnsi"/>
          <w:lang w:val="en-GB"/>
        </w:rPr>
        <w:lastRenderedPageBreak/>
        <w:t>Future Developments in 2019/2020</w:t>
      </w:r>
    </w:p>
    <w:p w:rsidR="00743238" w:rsidRPr="00267DB0" w:rsidRDefault="00743238" w:rsidP="00743238">
      <w:pPr>
        <w:pStyle w:val="BodyText1"/>
        <w:rPr>
          <w:rFonts w:asciiTheme="minorHAnsi" w:hAnsiTheme="minorHAnsi" w:cstheme="minorHAnsi"/>
          <w:lang w:val="en-GB"/>
        </w:rPr>
      </w:pPr>
      <w:r w:rsidRPr="00267DB0">
        <w:rPr>
          <w:rFonts w:asciiTheme="minorHAnsi" w:hAnsiTheme="minorHAnsi" w:cstheme="minorHAnsi"/>
          <w:lang w:val="en-GB"/>
        </w:rPr>
        <w:t xml:space="preserve">During the course of next year 2019/20 the Office of the Aged Care Pricing Commissioner will: </w:t>
      </w:r>
    </w:p>
    <w:p w:rsidR="00743238" w:rsidRPr="00267DB0" w:rsidRDefault="00743238" w:rsidP="00267DB0">
      <w:pPr>
        <w:pStyle w:val="Bulletlist"/>
        <w:rPr>
          <w:lang w:val="en-GB"/>
        </w:rPr>
      </w:pPr>
      <w:r w:rsidRPr="00267DB0">
        <w:rPr>
          <w:lang w:val="en-GB"/>
        </w:rPr>
        <w:t xml:space="preserve">continue to work with the assistance and guidance of members of the Industry Reference and Working Group on streamlining and improving internal office processes such as the online Application forms and other matters. </w:t>
      </w:r>
    </w:p>
    <w:p w:rsidR="00743238" w:rsidRPr="00267DB0" w:rsidRDefault="00743238" w:rsidP="00267DB0">
      <w:pPr>
        <w:pStyle w:val="Bulletlist"/>
        <w:rPr>
          <w:lang w:val="en-GB"/>
        </w:rPr>
      </w:pPr>
      <w:r w:rsidRPr="00267DB0">
        <w:rPr>
          <w:lang w:val="en-GB"/>
        </w:rPr>
        <w:t xml:space="preserve">continue visits to Residential Aged Care Facilities, including facilities below the Ministerial threshold of $550,000, to enhance knowledge and understanding of the issues being faced by Aged Care Providers and Consumers. </w:t>
      </w:r>
    </w:p>
    <w:p w:rsidR="00743238" w:rsidRPr="00267DB0" w:rsidRDefault="00743238" w:rsidP="00267DB0">
      <w:pPr>
        <w:pStyle w:val="Bulletlist"/>
        <w:rPr>
          <w:lang w:val="en-GB"/>
        </w:rPr>
      </w:pPr>
      <w:r w:rsidRPr="00267DB0">
        <w:rPr>
          <w:lang w:val="en-GB"/>
        </w:rPr>
        <w:t xml:space="preserve">maintain regular meetings with Minister Colbeck, Department of Health Senior Executives, with peak industry bodies, Providers, Consumer groups and financiers. </w:t>
      </w:r>
    </w:p>
    <w:p w:rsidR="00743238" w:rsidRPr="00267DB0" w:rsidRDefault="00743238" w:rsidP="00743238">
      <w:pPr>
        <w:pStyle w:val="BodyText1"/>
        <w:rPr>
          <w:rFonts w:asciiTheme="minorHAnsi" w:hAnsiTheme="minorHAnsi" w:cstheme="minorHAnsi"/>
          <w:lang w:val="en-GB"/>
        </w:rPr>
      </w:pPr>
      <w:r w:rsidRPr="00267DB0">
        <w:rPr>
          <w:rFonts w:asciiTheme="minorHAnsi" w:hAnsiTheme="minorHAnsi" w:cstheme="minorHAnsi"/>
          <w:lang w:val="en-GB"/>
        </w:rPr>
        <w:t xml:space="preserve">I remain committed to building relationships across the Aged Care Industry and further improving the confidence and trust in the workings of the Office of the Aged Care Pricing Commissioner. This will ensure our decisions are robust and transparent with a view to ensuring that pricing determinations, in respect of RAD and ES Fees, are well understood and the knowledge of pricing assists consumers of Residential Aged Care Facilities to make informed choices about the type of room and facility they would like to live in. </w:t>
      </w:r>
    </w:p>
    <w:p w:rsidR="00743238" w:rsidRPr="00267DB0" w:rsidRDefault="00743238" w:rsidP="00743238">
      <w:pPr>
        <w:pStyle w:val="BodyText1"/>
        <w:rPr>
          <w:rFonts w:asciiTheme="minorHAnsi" w:hAnsiTheme="minorHAnsi" w:cstheme="minorHAnsi"/>
          <w:lang w:val="en-GB"/>
        </w:rPr>
      </w:pPr>
      <w:r w:rsidRPr="00267DB0">
        <w:rPr>
          <w:rFonts w:asciiTheme="minorHAnsi" w:hAnsiTheme="minorHAnsi" w:cstheme="minorHAnsi"/>
          <w:lang w:val="en-GB"/>
        </w:rPr>
        <w:t xml:space="preserve">My aim is to develop a number of new documents including: </w:t>
      </w:r>
    </w:p>
    <w:p w:rsidR="00743238" w:rsidRPr="00267DB0" w:rsidRDefault="00743238" w:rsidP="00743238">
      <w:pPr>
        <w:pStyle w:val="Bulletlist"/>
        <w:rPr>
          <w:rFonts w:asciiTheme="minorHAnsi" w:hAnsiTheme="minorHAnsi" w:cstheme="minorHAnsi"/>
          <w:lang w:val="en-GB"/>
        </w:rPr>
      </w:pPr>
      <w:r w:rsidRPr="00267DB0">
        <w:rPr>
          <w:rFonts w:asciiTheme="minorHAnsi" w:hAnsiTheme="minorHAnsi" w:cstheme="minorHAnsi"/>
          <w:lang w:val="en-GB"/>
        </w:rPr>
        <w:t xml:space="preserve">Corporate Strategy for 2019-2021; </w:t>
      </w:r>
    </w:p>
    <w:p w:rsidR="00743238" w:rsidRPr="00267DB0" w:rsidRDefault="00743238" w:rsidP="00743238">
      <w:pPr>
        <w:pStyle w:val="Bulletlist"/>
        <w:rPr>
          <w:rFonts w:asciiTheme="minorHAnsi" w:hAnsiTheme="minorHAnsi" w:cstheme="minorHAnsi"/>
          <w:lang w:val="en-GB"/>
        </w:rPr>
      </w:pPr>
      <w:r w:rsidRPr="00267DB0">
        <w:rPr>
          <w:rFonts w:asciiTheme="minorHAnsi" w:hAnsiTheme="minorHAnsi" w:cstheme="minorHAnsi"/>
          <w:lang w:val="en-GB"/>
        </w:rPr>
        <w:t xml:space="preserve">Shared Values Booklet; and </w:t>
      </w:r>
    </w:p>
    <w:p w:rsidR="00743238" w:rsidRPr="00267DB0" w:rsidRDefault="00743238" w:rsidP="00743238">
      <w:pPr>
        <w:pStyle w:val="Bulletlist"/>
        <w:rPr>
          <w:rFonts w:asciiTheme="minorHAnsi" w:hAnsiTheme="minorHAnsi" w:cstheme="minorHAnsi"/>
          <w:lang w:val="en-GB"/>
        </w:rPr>
      </w:pPr>
      <w:r w:rsidRPr="00267DB0">
        <w:rPr>
          <w:rFonts w:asciiTheme="minorHAnsi" w:hAnsiTheme="minorHAnsi" w:cstheme="minorHAnsi"/>
          <w:lang w:val="en-GB"/>
        </w:rPr>
        <w:t xml:space="preserve">Various flyers/videos on the Aged Care Pricing Commissioner and its activities. </w:t>
      </w:r>
    </w:p>
    <w:p w:rsidR="00743238" w:rsidRPr="00267DB0" w:rsidRDefault="00743238" w:rsidP="00743238">
      <w:pPr>
        <w:pStyle w:val="H1left"/>
        <w:rPr>
          <w:rFonts w:asciiTheme="minorHAnsi" w:hAnsiTheme="minorHAnsi" w:cstheme="minorHAnsi"/>
          <w:lang w:val="en-GB"/>
        </w:rPr>
      </w:pPr>
      <w:r w:rsidRPr="00267DB0">
        <w:rPr>
          <w:rFonts w:asciiTheme="minorHAnsi" w:hAnsiTheme="minorHAnsi" w:cstheme="minorHAnsi"/>
          <w:lang w:val="en-GB"/>
        </w:rPr>
        <w:t>Acknowledgements &amp; Thanks</w:t>
      </w:r>
    </w:p>
    <w:p w:rsidR="00743238" w:rsidRPr="00267DB0" w:rsidRDefault="00743238" w:rsidP="00743238">
      <w:pPr>
        <w:pStyle w:val="BodyText1"/>
        <w:rPr>
          <w:rFonts w:asciiTheme="minorHAnsi" w:hAnsiTheme="minorHAnsi" w:cstheme="minorHAnsi"/>
        </w:rPr>
      </w:pPr>
      <w:r w:rsidRPr="00267DB0">
        <w:rPr>
          <w:rFonts w:asciiTheme="minorHAnsi" w:hAnsiTheme="minorHAnsi" w:cstheme="minorHAnsi"/>
        </w:rPr>
        <w:t>I would like to end this Annual Report by thanking Ministers Colbeck and Wyatt, Senior Department of Health Executives, the various industry and peak bodies for both Aged Care Providers and Consumers, the IRWG members for their patience, perseverance and ideas in helping to shape our online presence, as well as my colleagues on ACFA for their help, advice and tips in helping me navigate and strive for better service delivery, as well as all the people who I had the pleasure to meet in my travels and visits over the course of 2018/19.</w:t>
      </w:r>
    </w:p>
    <w:p w:rsidR="00743238" w:rsidRPr="00267DB0" w:rsidRDefault="00743238" w:rsidP="00743238">
      <w:pPr>
        <w:pStyle w:val="BodyText1"/>
        <w:rPr>
          <w:rFonts w:asciiTheme="minorHAnsi" w:hAnsiTheme="minorHAnsi" w:cstheme="minorHAnsi"/>
        </w:rPr>
      </w:pPr>
      <w:r w:rsidRPr="00267DB0">
        <w:rPr>
          <w:rFonts w:asciiTheme="minorHAnsi" w:hAnsiTheme="minorHAnsi" w:cstheme="minorHAnsi"/>
        </w:rPr>
        <w:t>However, the biggest thanks must go out to my team at the Office of the Aged Care Pricing Commissioner who are all brilliant in their own right and have developed incredible trust and respect from Aged Care Providers during the assessment process. As the Aged Care Pricing Commissioner I am very fortunate to have such a great team and they truly make coming to work every day a real pleasure and joy. I look forward to working with my team in 2019/20.</w:t>
      </w:r>
    </w:p>
    <w:p w:rsidR="00743238" w:rsidRPr="00267DB0" w:rsidRDefault="00743238" w:rsidP="00743238">
      <w:pPr>
        <w:pStyle w:val="H1left"/>
        <w:rPr>
          <w:rFonts w:asciiTheme="minorHAnsi" w:hAnsiTheme="minorHAnsi" w:cstheme="minorHAnsi"/>
          <w:lang w:val="en-GB"/>
        </w:rPr>
      </w:pPr>
      <w:r w:rsidRPr="00267DB0">
        <w:rPr>
          <w:rFonts w:asciiTheme="minorHAnsi" w:hAnsiTheme="minorHAnsi" w:cstheme="minorHAnsi"/>
          <w:lang w:val="en-GB"/>
        </w:rPr>
        <w:t>Contacts</w:t>
      </w:r>
    </w:p>
    <w:p w:rsidR="00BD4396" w:rsidRDefault="00743238" w:rsidP="00743238">
      <w:pPr>
        <w:pStyle w:val="BodyText1"/>
        <w:rPr>
          <w:rStyle w:val="A4"/>
          <w:rFonts w:asciiTheme="minorHAnsi" w:hAnsiTheme="minorHAnsi" w:cstheme="minorHAnsi"/>
          <w:b w:val="0"/>
          <w:bCs w:val="0"/>
          <w:color w:val="auto"/>
        </w:rPr>
      </w:pPr>
      <w:r w:rsidRPr="00267DB0">
        <w:rPr>
          <w:rStyle w:val="A4"/>
          <w:rFonts w:asciiTheme="minorHAnsi" w:hAnsiTheme="minorHAnsi" w:cstheme="minorHAnsi"/>
          <w:b w:val="0"/>
          <w:bCs w:val="0"/>
          <w:color w:val="auto"/>
        </w:rPr>
        <w:t xml:space="preserve">The Office of the Aged Care Pricing Commissioner can be contacted by phone 1300 550 970, by email on </w:t>
      </w:r>
      <w:hyperlink r:id="rId9" w:history="1">
        <w:r w:rsidRPr="00267DB0">
          <w:rPr>
            <w:rStyle w:val="Hyperlink"/>
            <w:rFonts w:asciiTheme="minorHAnsi" w:hAnsiTheme="minorHAnsi" w:cstheme="minorHAnsi"/>
          </w:rPr>
          <w:t>acpcenquiries@acpc.gov.au</w:t>
        </w:r>
      </w:hyperlink>
      <w:r w:rsidRPr="00267DB0">
        <w:rPr>
          <w:rStyle w:val="A4"/>
          <w:rFonts w:asciiTheme="minorHAnsi" w:hAnsiTheme="minorHAnsi" w:cstheme="minorHAnsi"/>
          <w:b w:val="0"/>
          <w:bCs w:val="0"/>
          <w:color w:val="auto"/>
        </w:rPr>
        <w:t xml:space="preserve">, or by post at: </w:t>
      </w:r>
    </w:p>
    <w:p w:rsidR="00743238" w:rsidRPr="00267DB0" w:rsidRDefault="00743238" w:rsidP="00743238">
      <w:pPr>
        <w:pStyle w:val="BodyText1"/>
        <w:rPr>
          <w:rFonts w:asciiTheme="minorHAnsi" w:hAnsiTheme="minorHAnsi" w:cstheme="minorHAnsi"/>
        </w:rPr>
      </w:pPr>
      <w:r w:rsidRPr="00267DB0">
        <w:rPr>
          <w:rStyle w:val="A4"/>
          <w:rFonts w:asciiTheme="minorHAnsi" w:hAnsiTheme="minorHAnsi" w:cstheme="minorHAnsi"/>
          <w:b w:val="0"/>
          <w:bCs w:val="0"/>
          <w:color w:val="auto"/>
        </w:rPr>
        <w:t xml:space="preserve">Office of the Aged Care Pricing Commissioner </w:t>
      </w:r>
      <w:r w:rsidR="00BD4396">
        <w:rPr>
          <w:rStyle w:val="A4"/>
          <w:rFonts w:asciiTheme="minorHAnsi" w:hAnsiTheme="minorHAnsi" w:cstheme="minorHAnsi"/>
          <w:b w:val="0"/>
          <w:bCs w:val="0"/>
          <w:color w:val="auto"/>
        </w:rPr>
        <w:br/>
      </w:r>
      <w:r w:rsidRPr="00267DB0">
        <w:rPr>
          <w:rStyle w:val="A4"/>
          <w:rFonts w:asciiTheme="minorHAnsi" w:hAnsiTheme="minorHAnsi" w:cstheme="minorHAnsi"/>
          <w:b w:val="0"/>
          <w:bCs w:val="0"/>
          <w:color w:val="auto"/>
        </w:rPr>
        <w:t xml:space="preserve">Locked Bag 5 </w:t>
      </w:r>
      <w:r w:rsidR="00BD4396">
        <w:rPr>
          <w:rStyle w:val="A4"/>
          <w:rFonts w:asciiTheme="minorHAnsi" w:hAnsiTheme="minorHAnsi" w:cstheme="minorHAnsi"/>
          <w:b w:val="0"/>
          <w:bCs w:val="0"/>
          <w:color w:val="auto"/>
        </w:rPr>
        <w:br/>
      </w:r>
      <w:r w:rsidRPr="00267DB0">
        <w:rPr>
          <w:rStyle w:val="A4"/>
          <w:rFonts w:asciiTheme="minorHAnsi" w:hAnsiTheme="minorHAnsi" w:cstheme="minorHAnsi"/>
          <w:b w:val="0"/>
          <w:bCs w:val="0"/>
          <w:color w:val="auto"/>
        </w:rPr>
        <w:t xml:space="preserve">Haymarket NSW 1240 </w:t>
      </w:r>
    </w:p>
    <w:p w:rsidR="00743238" w:rsidRPr="00267DB0" w:rsidRDefault="00743238" w:rsidP="00743238">
      <w:pPr>
        <w:pStyle w:val="BodyText1"/>
        <w:rPr>
          <w:rFonts w:asciiTheme="minorHAnsi" w:hAnsiTheme="minorHAnsi" w:cstheme="minorHAnsi"/>
        </w:rPr>
      </w:pPr>
      <w:r w:rsidRPr="00267DB0">
        <w:rPr>
          <w:rStyle w:val="A4"/>
          <w:rFonts w:asciiTheme="minorHAnsi" w:hAnsiTheme="minorHAnsi" w:cstheme="minorHAnsi"/>
          <w:b w:val="0"/>
          <w:bCs w:val="0"/>
          <w:color w:val="auto"/>
        </w:rPr>
        <w:t xml:space="preserve">Further information about the Aged Care Pricing Commissioner can be found on the Commissioner’s website at </w:t>
      </w:r>
      <w:hyperlink r:id="rId10" w:history="1">
        <w:r w:rsidRPr="00267DB0">
          <w:rPr>
            <w:rStyle w:val="Hyperlink"/>
            <w:rFonts w:asciiTheme="minorHAnsi" w:hAnsiTheme="minorHAnsi" w:cstheme="minorHAnsi"/>
          </w:rPr>
          <w:t>www.acpc.gov.au</w:t>
        </w:r>
      </w:hyperlink>
    </w:p>
    <w:sectPr w:rsidR="00743238" w:rsidRPr="00267DB0" w:rsidSect="00F84058">
      <w:footerReference w:type="even" r:id="rId11"/>
      <w:footerReference w:type="default" r:id="rId12"/>
      <w:pgSz w:w="12240" w:h="15840"/>
      <w:pgMar w:top="1134" w:right="1134" w:bottom="1134" w:left="1134" w:header="567" w:footer="113"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36F6" w:rsidRDefault="00CF36F6" w:rsidP="006F17F0">
      <w:r>
        <w:separator/>
      </w:r>
    </w:p>
  </w:endnote>
  <w:endnote w:type="continuationSeparator" w:id="0">
    <w:p w:rsidR="00CF36F6" w:rsidRDefault="00CF36F6" w:rsidP="006F1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nion Pro">
    <w:panose1 w:val="020B0604020202020204"/>
    <w:charset w:val="00"/>
    <w:family w:val="roman"/>
    <w:pitch w:val="variable"/>
    <w:sig w:usb0="60000287" w:usb1="00000001" w:usb2="00000000" w:usb3="00000000" w:csb0="0000019F" w:csb1="00000000"/>
  </w:font>
  <w:font w:name="Caecilia-Bold">
    <w:altName w:val="Calibri"/>
    <w:panose1 w:val="020B0604020202020204"/>
    <w:charset w:val="4D"/>
    <w:family w:val="auto"/>
    <w:notTrueType/>
    <w:pitch w:val="default"/>
    <w:sig w:usb0="00000003" w:usb1="00000000" w:usb2="00000000" w:usb3="00000000" w:csb0="00000001" w:csb1="00000000"/>
  </w:font>
  <w:font w:name="Caecilia-Light">
    <w:altName w:val="Calibri"/>
    <w:panose1 w:val="020B0604020202020204"/>
    <w:charset w:val="00"/>
    <w:family w:val="auto"/>
    <w:notTrueType/>
    <w:pitch w:val="variable"/>
    <w:sig w:usb0="00000003" w:usb1="00000000" w:usb2="00000000" w:usb3="00000000" w:csb0="00000001" w:csb1="00000000"/>
  </w:font>
  <w:font w:name="LFTEtica-Regular">
    <w:panose1 w:val="020B0604020202020204"/>
    <w:charset w:val="4D"/>
    <w:family w:val="auto"/>
    <w:pitch w:val="default"/>
    <w:sig w:usb0="00000003" w:usb1="00000000" w:usb2="00000000" w:usb3="00000000" w:csb0="00000001" w:csb1="00000000"/>
  </w:font>
  <w:font w:name="LFTEtica-LightItalic">
    <w:altName w:val="Calibri"/>
    <w:panose1 w:val="020B0604020202020204"/>
    <w:charset w:val="4D"/>
    <w:family w:val="auto"/>
    <w:pitch w:val="default"/>
    <w:sig w:usb0="00000003" w:usb1="00000000" w:usb2="00000000" w:usb3="00000000" w:csb0="00000001" w:csb1="00000000"/>
  </w:font>
  <w:font w:name="LFT Etica">
    <w:altName w:val="LFT Etica"/>
    <w:panose1 w:val="020B0604020202020204"/>
    <w:charset w:val="00"/>
    <w:family w:val="swiss"/>
    <w:pitch w:val="default"/>
    <w:sig w:usb0="00000003" w:usb1="00000000" w:usb2="00000000" w:usb3="00000000" w:csb0="00000001" w:csb1="00000000"/>
  </w:font>
  <w:font w:name="LFT Etica Lt">
    <w:altName w:val="LFT Etica Lt"/>
    <w:panose1 w:val="020B0604020202020204"/>
    <w:charset w:val="00"/>
    <w:family w:val="swiss"/>
    <w:pitch w:val="default"/>
    <w:sig w:usb0="00000003" w:usb1="00000000" w:usb2="00000000" w:usb3="00000000" w:csb0="00000001" w:csb1="00000000"/>
  </w:font>
  <w:font w:name="Norwester">
    <w:altName w:val="Calibri"/>
    <w:panose1 w:val="020B0604020202020204"/>
    <w:charset w:val="00"/>
    <w:family w:val="swiss"/>
    <w:pitch w:val="default"/>
    <w:sig w:usb0="00000003" w:usb1="00000000" w:usb2="00000000" w:usb3="00000000" w:csb0="00000001" w:csb1="00000000"/>
  </w:font>
  <w:font w:name="LFT Etica SB">
    <w:altName w:val="LFT Etica SB"/>
    <w:panose1 w:val="020B0604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64594221"/>
      <w:docPartObj>
        <w:docPartGallery w:val="Page Numbers (Bottom of Page)"/>
        <w:docPartUnique/>
      </w:docPartObj>
    </w:sdtPr>
    <w:sdtEndPr>
      <w:rPr>
        <w:rStyle w:val="PageNumber"/>
      </w:rPr>
    </w:sdtEndPr>
    <w:sdtContent>
      <w:p w:rsidR="001B645B" w:rsidRDefault="001B645B" w:rsidP="00DD0E1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0C297D" w:rsidRDefault="000C297D" w:rsidP="001B645B">
    <w:pPr>
      <w:pStyle w:val="Footer"/>
      <w:ind w:right="360"/>
    </w:pPr>
  </w:p>
  <w:p w:rsidR="004F5376" w:rsidRDefault="004F537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Fonts w:ascii="Calibri" w:hAnsi="Calibri"/>
        <w:sz w:val="16"/>
        <w:szCs w:val="16"/>
      </w:rPr>
      <w:id w:val="-1118989252"/>
      <w:docPartObj>
        <w:docPartGallery w:val="Page Numbers (Bottom of Page)"/>
        <w:docPartUnique/>
      </w:docPartObj>
    </w:sdtPr>
    <w:sdtEndPr>
      <w:rPr>
        <w:rStyle w:val="PageNumber"/>
      </w:rPr>
    </w:sdtEndPr>
    <w:sdtContent>
      <w:p w:rsidR="001B645B" w:rsidRPr="001B645B" w:rsidRDefault="001B645B" w:rsidP="001B645B">
        <w:pPr>
          <w:pStyle w:val="Footer"/>
          <w:framePr w:wrap="none" w:vAnchor="text" w:hAnchor="margin" w:xAlign="right" w:y="114"/>
          <w:rPr>
            <w:rStyle w:val="PageNumber"/>
            <w:rFonts w:ascii="Calibri" w:hAnsi="Calibri"/>
            <w:sz w:val="16"/>
            <w:szCs w:val="16"/>
          </w:rPr>
        </w:pPr>
        <w:r w:rsidRPr="001B645B">
          <w:rPr>
            <w:rStyle w:val="PageNumber"/>
            <w:rFonts w:ascii="Calibri" w:hAnsi="Calibri"/>
            <w:sz w:val="16"/>
            <w:szCs w:val="16"/>
          </w:rPr>
          <w:fldChar w:fldCharType="begin"/>
        </w:r>
        <w:r w:rsidRPr="001B645B">
          <w:rPr>
            <w:rStyle w:val="PageNumber"/>
            <w:rFonts w:ascii="Calibri" w:hAnsi="Calibri"/>
            <w:sz w:val="16"/>
            <w:szCs w:val="16"/>
          </w:rPr>
          <w:instrText xml:space="preserve"> PAGE </w:instrText>
        </w:r>
        <w:r w:rsidRPr="001B645B">
          <w:rPr>
            <w:rStyle w:val="PageNumber"/>
            <w:rFonts w:ascii="Calibri" w:hAnsi="Calibri"/>
            <w:sz w:val="16"/>
            <w:szCs w:val="16"/>
          </w:rPr>
          <w:fldChar w:fldCharType="separate"/>
        </w:r>
        <w:r w:rsidRPr="001B645B">
          <w:rPr>
            <w:rStyle w:val="PageNumber"/>
            <w:rFonts w:ascii="Calibri" w:hAnsi="Calibri"/>
            <w:noProof/>
            <w:sz w:val="16"/>
            <w:szCs w:val="16"/>
          </w:rPr>
          <w:t>1</w:t>
        </w:r>
        <w:r w:rsidRPr="001B645B">
          <w:rPr>
            <w:rStyle w:val="PageNumber"/>
            <w:rFonts w:ascii="Calibri" w:hAnsi="Calibri"/>
            <w:sz w:val="16"/>
            <w:szCs w:val="16"/>
          </w:rPr>
          <w:fldChar w:fldCharType="end"/>
        </w:r>
      </w:p>
    </w:sdtContent>
  </w:sdt>
  <w:p w:rsidR="000C297D" w:rsidRPr="001B645B" w:rsidRDefault="000C297D" w:rsidP="001B645B">
    <w:pPr>
      <w:pStyle w:val="BodyText1"/>
      <w:ind w:right="360"/>
      <w:rPr>
        <w:sz w:val="16"/>
        <w:szCs w:val="16"/>
      </w:rPr>
    </w:pPr>
    <w:r w:rsidRPr="001B645B">
      <w:rPr>
        <w:sz w:val="16"/>
        <w:szCs w:val="16"/>
      </w:rPr>
      <w:t>Aged Care Pricing Commissioner Annual Report 1 July 201</w:t>
    </w:r>
    <w:r w:rsidR="00B1267C">
      <w:rPr>
        <w:sz w:val="16"/>
        <w:szCs w:val="16"/>
      </w:rPr>
      <w:t>8</w:t>
    </w:r>
    <w:r w:rsidRPr="001B645B">
      <w:rPr>
        <w:sz w:val="16"/>
        <w:szCs w:val="16"/>
      </w:rPr>
      <w:t xml:space="preserve"> – 30 June 201</w:t>
    </w:r>
    <w:r w:rsidR="00B1267C">
      <w:rPr>
        <w:sz w:val="16"/>
        <w:szCs w:val="16"/>
      </w:rPr>
      <w:t>9</w:t>
    </w:r>
  </w:p>
  <w:p w:rsidR="004F5376" w:rsidRDefault="004F537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36F6" w:rsidRDefault="00CF36F6" w:rsidP="006F17F0">
      <w:r>
        <w:separator/>
      </w:r>
    </w:p>
  </w:footnote>
  <w:footnote w:type="continuationSeparator" w:id="0">
    <w:p w:rsidR="00CF36F6" w:rsidRDefault="00CF36F6" w:rsidP="006F17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18625A2"/>
    <w:multiLevelType w:val="hybridMultilevel"/>
    <w:tmpl w:val="6F657DD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23D2A13"/>
    <w:multiLevelType w:val="hybridMultilevel"/>
    <w:tmpl w:val="77EE78E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FC4502E"/>
    <w:multiLevelType w:val="hybridMultilevel"/>
    <w:tmpl w:val="8070DD8E"/>
    <w:lvl w:ilvl="0" w:tplc="0409000F">
      <w:start w:val="1"/>
      <w:numFmt w:val="decimal"/>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3" w15:restartNumberingAfterBreak="0">
    <w:nsid w:val="2AA126FE"/>
    <w:multiLevelType w:val="hybridMultilevel"/>
    <w:tmpl w:val="ED4C0DBE"/>
    <w:lvl w:ilvl="0" w:tplc="B4D61C36">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D06FEB"/>
    <w:multiLevelType w:val="hybridMultilevel"/>
    <w:tmpl w:val="5E53D00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31A83F71"/>
    <w:multiLevelType w:val="hybridMultilevel"/>
    <w:tmpl w:val="7E9EE794"/>
    <w:lvl w:ilvl="0" w:tplc="EA1A85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616DAC"/>
    <w:multiLevelType w:val="hybridMultilevel"/>
    <w:tmpl w:val="A76EB414"/>
    <w:lvl w:ilvl="0" w:tplc="C3CCF46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7572950"/>
    <w:multiLevelType w:val="hybridMultilevel"/>
    <w:tmpl w:val="5D700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F87A21"/>
    <w:multiLevelType w:val="hybridMultilevel"/>
    <w:tmpl w:val="2B3ADE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7B46196"/>
    <w:multiLevelType w:val="hybridMultilevel"/>
    <w:tmpl w:val="F07C7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877C1F"/>
    <w:multiLevelType w:val="hybridMultilevel"/>
    <w:tmpl w:val="619E8F2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73543BAD"/>
    <w:multiLevelType w:val="hybridMultilevel"/>
    <w:tmpl w:val="B0261A8C"/>
    <w:lvl w:ilvl="0" w:tplc="C57A5C48">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5081701"/>
    <w:multiLevelType w:val="hybridMultilevel"/>
    <w:tmpl w:val="51522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05130D"/>
    <w:multiLevelType w:val="hybridMultilevel"/>
    <w:tmpl w:val="1D50E6C0"/>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CEE03E4"/>
    <w:multiLevelType w:val="hybridMultilevel"/>
    <w:tmpl w:val="DA26A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5"/>
  </w:num>
  <w:num w:numId="3">
    <w:abstractNumId w:val="9"/>
  </w:num>
  <w:num w:numId="4">
    <w:abstractNumId w:val="12"/>
  </w:num>
  <w:num w:numId="5">
    <w:abstractNumId w:val="3"/>
  </w:num>
  <w:num w:numId="6">
    <w:abstractNumId w:val="7"/>
  </w:num>
  <w:num w:numId="7">
    <w:abstractNumId w:val="2"/>
  </w:num>
  <w:num w:numId="8">
    <w:abstractNumId w:val="8"/>
  </w:num>
  <w:num w:numId="9">
    <w:abstractNumId w:val="6"/>
  </w:num>
  <w:num w:numId="10">
    <w:abstractNumId w:val="13"/>
  </w:num>
  <w:num w:numId="11">
    <w:abstractNumId w:val="11"/>
  </w:num>
  <w:num w:numId="12">
    <w:abstractNumId w:val="1"/>
  </w:num>
  <w:num w:numId="13">
    <w:abstractNumId w:val="4"/>
  </w:num>
  <w:num w:numId="14">
    <w:abstractNumId w:val="0"/>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1B5"/>
    <w:rsid w:val="000652D5"/>
    <w:rsid w:val="000B2B49"/>
    <w:rsid w:val="000B6F8B"/>
    <w:rsid w:val="000C297D"/>
    <w:rsid w:val="0013229E"/>
    <w:rsid w:val="001B645B"/>
    <w:rsid w:val="001F0F9C"/>
    <w:rsid w:val="00267DB0"/>
    <w:rsid w:val="00464101"/>
    <w:rsid w:val="004F5376"/>
    <w:rsid w:val="00572891"/>
    <w:rsid w:val="0057657C"/>
    <w:rsid w:val="005C61B5"/>
    <w:rsid w:val="005D2AB1"/>
    <w:rsid w:val="006C49FD"/>
    <w:rsid w:val="006F17F0"/>
    <w:rsid w:val="00743238"/>
    <w:rsid w:val="00750D16"/>
    <w:rsid w:val="008F5190"/>
    <w:rsid w:val="00910583"/>
    <w:rsid w:val="009701DE"/>
    <w:rsid w:val="00985C3B"/>
    <w:rsid w:val="00AD6E03"/>
    <w:rsid w:val="00B1267C"/>
    <w:rsid w:val="00B60977"/>
    <w:rsid w:val="00BD4396"/>
    <w:rsid w:val="00C809CE"/>
    <w:rsid w:val="00CE6957"/>
    <w:rsid w:val="00CF36F6"/>
    <w:rsid w:val="00D571C0"/>
    <w:rsid w:val="00D82E0F"/>
    <w:rsid w:val="00D95663"/>
    <w:rsid w:val="00F410F8"/>
    <w:rsid w:val="00F42702"/>
    <w:rsid w:val="00F8405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E0A0CD-4353-7044-B48B-6B696F13B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B6F8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0B6F8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5C61B5"/>
    <w:pPr>
      <w:autoSpaceDE w:val="0"/>
      <w:autoSpaceDN w:val="0"/>
      <w:adjustRightInd w:val="0"/>
      <w:spacing w:line="288" w:lineRule="auto"/>
      <w:textAlignment w:val="center"/>
    </w:pPr>
    <w:rPr>
      <w:rFonts w:ascii="Minion Pro" w:hAnsi="Minion Pro" w:cs="Minion Pro"/>
      <w:color w:val="000000"/>
      <w:lang w:val="en-GB"/>
    </w:rPr>
  </w:style>
  <w:style w:type="paragraph" w:customStyle="1" w:styleId="BodyText1">
    <w:name w:val="Body Text1"/>
    <w:basedOn w:val="Normal"/>
    <w:qFormat/>
    <w:rsid w:val="006F17F0"/>
    <w:pPr>
      <w:adjustRightInd w:val="0"/>
      <w:spacing w:before="160" w:after="160"/>
    </w:pPr>
    <w:rPr>
      <w:rFonts w:ascii="Calibri" w:hAnsi="Calibri"/>
      <w:sz w:val="20"/>
      <w:szCs w:val="20"/>
    </w:rPr>
  </w:style>
  <w:style w:type="paragraph" w:customStyle="1" w:styleId="H1">
    <w:name w:val="H1"/>
    <w:next w:val="Heading1"/>
    <w:link w:val="H1Char"/>
    <w:qFormat/>
    <w:rsid w:val="00F410F8"/>
    <w:pPr>
      <w:jc w:val="center"/>
    </w:pPr>
    <w:rPr>
      <w:rFonts w:ascii="Calibri" w:hAnsi="Calibri"/>
      <w:b/>
      <w:sz w:val="40"/>
      <w:szCs w:val="32"/>
    </w:rPr>
  </w:style>
  <w:style w:type="paragraph" w:customStyle="1" w:styleId="H1left">
    <w:name w:val="H1 left"/>
    <w:basedOn w:val="H1"/>
    <w:link w:val="H1leftChar"/>
    <w:qFormat/>
    <w:rsid w:val="000B6F8B"/>
    <w:pPr>
      <w:spacing w:before="400" w:after="320"/>
      <w:jc w:val="left"/>
      <w:outlineLvl w:val="0"/>
    </w:pPr>
  </w:style>
  <w:style w:type="paragraph" w:customStyle="1" w:styleId="IntroPara">
    <w:name w:val="Intro Para"/>
    <w:basedOn w:val="Normal"/>
    <w:uiPriority w:val="99"/>
    <w:rsid w:val="005C61B5"/>
    <w:pPr>
      <w:tabs>
        <w:tab w:val="right" w:pos="2636"/>
      </w:tabs>
      <w:suppressAutoHyphens/>
      <w:autoSpaceDE w:val="0"/>
      <w:autoSpaceDN w:val="0"/>
      <w:adjustRightInd w:val="0"/>
      <w:spacing w:before="57" w:after="170" w:line="360" w:lineRule="atLeast"/>
      <w:textAlignment w:val="center"/>
    </w:pPr>
    <w:rPr>
      <w:rFonts w:ascii="Caecilia-Bold" w:hAnsi="Caecilia-Bold" w:cs="Caecilia-Bold"/>
      <w:b/>
      <w:bCs/>
      <w:color w:val="4B9C2E"/>
      <w:sz w:val="30"/>
      <w:szCs w:val="30"/>
      <w:lang w:val="en-GB"/>
    </w:rPr>
  </w:style>
  <w:style w:type="paragraph" w:styleId="BodyText">
    <w:name w:val="Body Text"/>
    <w:basedOn w:val="Normal"/>
    <w:link w:val="BodyTextChar"/>
    <w:uiPriority w:val="99"/>
    <w:rsid w:val="005C61B5"/>
    <w:pPr>
      <w:tabs>
        <w:tab w:val="left" w:pos="227"/>
        <w:tab w:val="left" w:pos="454"/>
        <w:tab w:val="left" w:pos="680"/>
        <w:tab w:val="left" w:pos="907"/>
        <w:tab w:val="right" w:pos="2636"/>
      </w:tabs>
      <w:suppressAutoHyphens/>
      <w:autoSpaceDE w:val="0"/>
      <w:autoSpaceDN w:val="0"/>
      <w:adjustRightInd w:val="0"/>
      <w:spacing w:after="170" w:line="260" w:lineRule="atLeast"/>
      <w:textAlignment w:val="center"/>
    </w:pPr>
    <w:rPr>
      <w:rFonts w:ascii="Caecilia-Light" w:hAnsi="Caecilia-Light" w:cs="Caecilia-Light"/>
      <w:color w:val="000000"/>
      <w:sz w:val="18"/>
      <w:szCs w:val="18"/>
      <w:lang w:val="en-GB"/>
    </w:rPr>
  </w:style>
  <w:style w:type="character" w:customStyle="1" w:styleId="BodyTextChar">
    <w:name w:val="Body Text Char"/>
    <w:basedOn w:val="DefaultParagraphFont"/>
    <w:link w:val="BodyText"/>
    <w:uiPriority w:val="99"/>
    <w:rsid w:val="005C61B5"/>
    <w:rPr>
      <w:rFonts w:ascii="Caecilia-Light" w:hAnsi="Caecilia-Light" w:cs="Caecilia-Light"/>
      <w:color w:val="000000"/>
      <w:sz w:val="18"/>
      <w:szCs w:val="18"/>
      <w:lang w:val="en-GB"/>
    </w:rPr>
  </w:style>
  <w:style w:type="paragraph" w:customStyle="1" w:styleId="HeadingL3">
    <w:name w:val="Heading L3"/>
    <w:basedOn w:val="Normal"/>
    <w:uiPriority w:val="99"/>
    <w:rsid w:val="005C61B5"/>
    <w:pPr>
      <w:tabs>
        <w:tab w:val="right" w:pos="2636"/>
      </w:tabs>
      <w:suppressAutoHyphens/>
      <w:autoSpaceDE w:val="0"/>
      <w:autoSpaceDN w:val="0"/>
      <w:adjustRightInd w:val="0"/>
      <w:spacing w:before="57" w:after="113" w:line="260" w:lineRule="atLeast"/>
      <w:textAlignment w:val="center"/>
    </w:pPr>
    <w:rPr>
      <w:rFonts w:ascii="Caecilia-Bold" w:hAnsi="Caecilia-Bold" w:cs="Caecilia-Bold"/>
      <w:b/>
      <w:bCs/>
      <w:color w:val="006837"/>
      <w:sz w:val="20"/>
      <w:szCs w:val="20"/>
      <w:lang w:val="en-GB"/>
    </w:rPr>
  </w:style>
  <w:style w:type="paragraph" w:customStyle="1" w:styleId="BodyTextbeforebullet">
    <w:name w:val="Body Text before bullet"/>
    <w:basedOn w:val="Normal"/>
    <w:uiPriority w:val="99"/>
    <w:rsid w:val="005C61B5"/>
    <w:pPr>
      <w:tabs>
        <w:tab w:val="left" w:pos="227"/>
        <w:tab w:val="left" w:pos="454"/>
        <w:tab w:val="left" w:pos="680"/>
        <w:tab w:val="left" w:pos="907"/>
        <w:tab w:val="right" w:pos="2636"/>
      </w:tabs>
      <w:suppressAutoHyphens/>
      <w:autoSpaceDE w:val="0"/>
      <w:autoSpaceDN w:val="0"/>
      <w:adjustRightInd w:val="0"/>
      <w:spacing w:after="99" w:line="260" w:lineRule="atLeast"/>
      <w:textAlignment w:val="center"/>
    </w:pPr>
    <w:rPr>
      <w:rFonts w:ascii="Caecilia-Light" w:hAnsi="Caecilia-Light" w:cs="Caecilia-Light"/>
      <w:color w:val="000000"/>
      <w:sz w:val="18"/>
      <w:szCs w:val="18"/>
      <w:lang w:val="en-GB"/>
    </w:rPr>
  </w:style>
  <w:style w:type="paragraph" w:customStyle="1" w:styleId="BodyBullet">
    <w:name w:val="Body Bullet"/>
    <w:basedOn w:val="BodyText"/>
    <w:uiPriority w:val="99"/>
    <w:rsid w:val="005C61B5"/>
    <w:pPr>
      <w:tabs>
        <w:tab w:val="clear" w:pos="454"/>
        <w:tab w:val="clear" w:pos="680"/>
        <w:tab w:val="clear" w:pos="907"/>
      </w:tabs>
      <w:spacing w:after="43"/>
      <w:ind w:left="227" w:hanging="227"/>
    </w:pPr>
  </w:style>
  <w:style w:type="paragraph" w:customStyle="1" w:styleId="BodyBulletLast">
    <w:name w:val="Body Bullet Last"/>
    <w:basedOn w:val="BodyBullet"/>
    <w:uiPriority w:val="99"/>
    <w:rsid w:val="005C61B5"/>
    <w:pPr>
      <w:spacing w:after="170"/>
    </w:pPr>
  </w:style>
  <w:style w:type="paragraph" w:customStyle="1" w:styleId="HeadingL2">
    <w:name w:val="Heading L2"/>
    <w:basedOn w:val="Normal"/>
    <w:uiPriority w:val="99"/>
    <w:rsid w:val="005C61B5"/>
    <w:pPr>
      <w:tabs>
        <w:tab w:val="right" w:pos="2636"/>
      </w:tabs>
      <w:suppressAutoHyphens/>
      <w:autoSpaceDE w:val="0"/>
      <w:autoSpaceDN w:val="0"/>
      <w:adjustRightInd w:val="0"/>
      <w:spacing w:after="57" w:line="292" w:lineRule="atLeast"/>
      <w:textAlignment w:val="center"/>
    </w:pPr>
    <w:rPr>
      <w:rFonts w:ascii="Caecilia-Bold" w:hAnsi="Caecilia-Bold" w:cs="Caecilia-Bold"/>
      <w:b/>
      <w:bCs/>
      <w:color w:val="000000"/>
      <w:lang w:val="en-GB"/>
    </w:rPr>
  </w:style>
  <w:style w:type="character" w:customStyle="1" w:styleId="Bold">
    <w:name w:val="Bold"/>
    <w:uiPriority w:val="99"/>
    <w:rsid w:val="005C61B5"/>
    <w:rPr>
      <w:b/>
      <w:bCs/>
    </w:rPr>
  </w:style>
  <w:style w:type="paragraph" w:customStyle="1" w:styleId="H2">
    <w:name w:val="H2"/>
    <w:basedOn w:val="Heading2"/>
    <w:next w:val="BodyText1"/>
    <w:autoRedefine/>
    <w:qFormat/>
    <w:rsid w:val="00D571C0"/>
    <w:pPr>
      <w:spacing w:before="320" w:after="120"/>
    </w:pPr>
    <w:rPr>
      <w:color w:val="ED7D31" w:themeColor="accent2"/>
      <w:sz w:val="28"/>
      <w:szCs w:val="24"/>
      <w:lang w:val="en-GB"/>
    </w:rPr>
  </w:style>
  <w:style w:type="paragraph" w:customStyle="1" w:styleId="Bulletlist">
    <w:name w:val="Bullet list"/>
    <w:basedOn w:val="BodyText1"/>
    <w:qFormat/>
    <w:rsid w:val="006F17F0"/>
    <w:pPr>
      <w:numPr>
        <w:numId w:val="5"/>
      </w:numPr>
      <w:spacing w:before="80" w:after="80"/>
      <w:ind w:left="284" w:hanging="284"/>
    </w:pPr>
  </w:style>
  <w:style w:type="paragraph" w:styleId="FootnoteText">
    <w:name w:val="footnote text"/>
    <w:basedOn w:val="Normal"/>
    <w:link w:val="FootnoteTextChar"/>
    <w:uiPriority w:val="99"/>
    <w:semiHidden/>
    <w:unhideWhenUsed/>
    <w:rsid w:val="006F17F0"/>
    <w:rPr>
      <w:sz w:val="20"/>
      <w:szCs w:val="20"/>
    </w:rPr>
  </w:style>
  <w:style w:type="character" w:customStyle="1" w:styleId="FootnoteTextChar">
    <w:name w:val="Footnote Text Char"/>
    <w:basedOn w:val="DefaultParagraphFont"/>
    <w:link w:val="FootnoteText"/>
    <w:uiPriority w:val="99"/>
    <w:semiHidden/>
    <w:rsid w:val="006F17F0"/>
    <w:rPr>
      <w:sz w:val="20"/>
      <w:szCs w:val="20"/>
    </w:rPr>
  </w:style>
  <w:style w:type="character" w:styleId="FootnoteReference">
    <w:name w:val="footnote reference"/>
    <w:basedOn w:val="DefaultParagraphFont"/>
    <w:uiPriority w:val="99"/>
    <w:semiHidden/>
    <w:unhideWhenUsed/>
    <w:rsid w:val="006F17F0"/>
    <w:rPr>
      <w:vertAlign w:val="superscript"/>
    </w:rPr>
  </w:style>
  <w:style w:type="character" w:styleId="Hyperlink">
    <w:name w:val="Hyperlink"/>
    <w:basedOn w:val="DefaultParagraphFont"/>
    <w:uiPriority w:val="99"/>
    <w:unhideWhenUsed/>
    <w:rsid w:val="006F17F0"/>
    <w:rPr>
      <w:color w:val="0563C1" w:themeColor="hyperlink"/>
      <w:u w:val="single"/>
    </w:rPr>
  </w:style>
  <w:style w:type="character" w:styleId="UnresolvedMention">
    <w:name w:val="Unresolved Mention"/>
    <w:basedOn w:val="DefaultParagraphFont"/>
    <w:uiPriority w:val="99"/>
    <w:semiHidden/>
    <w:unhideWhenUsed/>
    <w:rsid w:val="006F17F0"/>
    <w:rPr>
      <w:color w:val="808080"/>
      <w:shd w:val="clear" w:color="auto" w:fill="E6E6E6"/>
    </w:rPr>
  </w:style>
  <w:style w:type="paragraph" w:customStyle="1" w:styleId="Chartheading">
    <w:name w:val="Chart heading"/>
    <w:basedOn w:val="BodyText1"/>
    <w:qFormat/>
    <w:rsid w:val="00F410F8"/>
    <w:pPr>
      <w:keepNext/>
      <w:spacing w:before="300" w:after="100"/>
    </w:pPr>
    <w:rPr>
      <w:b/>
      <w:i/>
      <w:iCs/>
      <w:lang w:val="en-GB"/>
    </w:rPr>
  </w:style>
  <w:style w:type="table" w:styleId="TableGrid">
    <w:name w:val="Table Grid"/>
    <w:basedOn w:val="TableNormal"/>
    <w:uiPriority w:val="39"/>
    <w:rsid w:val="006F17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BodyText1"/>
    <w:qFormat/>
    <w:rsid w:val="006F17F0"/>
    <w:pPr>
      <w:spacing w:beforeLines="40" w:before="96" w:afterLines="40" w:after="96"/>
    </w:pPr>
  </w:style>
  <w:style w:type="paragraph" w:customStyle="1" w:styleId="H3">
    <w:name w:val="H3"/>
    <w:basedOn w:val="BodyText1"/>
    <w:qFormat/>
    <w:rsid w:val="00D571C0"/>
    <w:pPr>
      <w:keepNext/>
      <w:spacing w:before="240" w:after="120"/>
    </w:pPr>
    <w:rPr>
      <w:b/>
      <w:bCs/>
      <w:color w:val="0097AB"/>
      <w:sz w:val="22"/>
      <w:lang w:val="en-GB"/>
    </w:rPr>
  </w:style>
  <w:style w:type="paragraph" w:styleId="Header">
    <w:name w:val="header"/>
    <w:basedOn w:val="Normal"/>
    <w:link w:val="HeaderChar"/>
    <w:uiPriority w:val="99"/>
    <w:unhideWhenUsed/>
    <w:rsid w:val="000C297D"/>
    <w:pPr>
      <w:tabs>
        <w:tab w:val="center" w:pos="4680"/>
        <w:tab w:val="right" w:pos="9360"/>
      </w:tabs>
    </w:pPr>
  </w:style>
  <w:style w:type="character" w:customStyle="1" w:styleId="HeaderChar">
    <w:name w:val="Header Char"/>
    <w:basedOn w:val="DefaultParagraphFont"/>
    <w:link w:val="Header"/>
    <w:uiPriority w:val="99"/>
    <w:rsid w:val="000C297D"/>
  </w:style>
  <w:style w:type="paragraph" w:styleId="Footer">
    <w:name w:val="footer"/>
    <w:basedOn w:val="Normal"/>
    <w:link w:val="FooterChar"/>
    <w:uiPriority w:val="99"/>
    <w:unhideWhenUsed/>
    <w:rsid w:val="000C297D"/>
    <w:pPr>
      <w:tabs>
        <w:tab w:val="center" w:pos="4680"/>
        <w:tab w:val="right" w:pos="9360"/>
      </w:tabs>
    </w:pPr>
  </w:style>
  <w:style w:type="character" w:customStyle="1" w:styleId="FooterChar">
    <w:name w:val="Footer Char"/>
    <w:basedOn w:val="DefaultParagraphFont"/>
    <w:link w:val="Footer"/>
    <w:uiPriority w:val="99"/>
    <w:rsid w:val="000C297D"/>
  </w:style>
  <w:style w:type="character" w:styleId="PageNumber">
    <w:name w:val="page number"/>
    <w:basedOn w:val="DefaultParagraphFont"/>
    <w:uiPriority w:val="99"/>
    <w:semiHidden/>
    <w:unhideWhenUsed/>
    <w:rsid w:val="001B645B"/>
  </w:style>
  <w:style w:type="character" w:customStyle="1" w:styleId="H1Char">
    <w:name w:val="H1 Char"/>
    <w:basedOn w:val="DefaultParagraphFont"/>
    <w:link w:val="H1"/>
    <w:rsid w:val="000B6F8B"/>
    <w:rPr>
      <w:rFonts w:ascii="Calibri" w:hAnsi="Calibri"/>
      <w:b/>
      <w:sz w:val="40"/>
      <w:szCs w:val="32"/>
    </w:rPr>
  </w:style>
  <w:style w:type="character" w:customStyle="1" w:styleId="H1leftChar">
    <w:name w:val="H1 left Char"/>
    <w:basedOn w:val="H1Char"/>
    <w:link w:val="H1left"/>
    <w:rsid w:val="000B6F8B"/>
    <w:rPr>
      <w:rFonts w:ascii="Calibri" w:hAnsi="Calibri"/>
      <w:b/>
      <w:sz w:val="40"/>
      <w:szCs w:val="32"/>
    </w:rPr>
  </w:style>
  <w:style w:type="character" w:customStyle="1" w:styleId="Heading1Char">
    <w:name w:val="Heading 1 Char"/>
    <w:basedOn w:val="DefaultParagraphFont"/>
    <w:link w:val="Heading1"/>
    <w:uiPriority w:val="9"/>
    <w:rsid w:val="000B6F8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0B6F8B"/>
    <w:rPr>
      <w:rFonts w:asciiTheme="majorHAnsi" w:eastAsiaTheme="majorEastAsia" w:hAnsiTheme="majorHAnsi" w:cstheme="majorBidi"/>
      <w:color w:val="2F5496" w:themeColor="accent1" w:themeShade="BF"/>
      <w:sz w:val="26"/>
      <w:szCs w:val="26"/>
    </w:rPr>
  </w:style>
  <w:style w:type="paragraph" w:customStyle="1" w:styleId="NoParagraphStyle">
    <w:name w:val="[No Paragraph Style]"/>
    <w:rsid w:val="00B1267C"/>
    <w:pPr>
      <w:autoSpaceDE w:val="0"/>
      <w:autoSpaceDN w:val="0"/>
      <w:adjustRightInd w:val="0"/>
      <w:spacing w:line="288" w:lineRule="auto"/>
      <w:textAlignment w:val="center"/>
    </w:pPr>
    <w:rPr>
      <w:rFonts w:ascii="LFTEtica-Regular" w:hAnsi="LFTEtica-Regular" w:cs="LFTEtica-Regular"/>
      <w:color w:val="000000"/>
      <w:lang w:val="en-GB"/>
    </w:rPr>
  </w:style>
  <w:style w:type="character" w:customStyle="1" w:styleId="Italic">
    <w:name w:val="Italic"/>
    <w:uiPriority w:val="99"/>
    <w:rsid w:val="00B1267C"/>
    <w:rPr>
      <w:rFonts w:ascii="LFTEtica-LightItalic" w:hAnsi="LFTEtica-LightItalic" w:cs="LFTEtica-LightItalic"/>
      <w:i/>
      <w:iCs/>
      <w:color w:val="000000"/>
      <w:sz w:val="18"/>
      <w:szCs w:val="18"/>
    </w:rPr>
  </w:style>
  <w:style w:type="paragraph" w:customStyle="1" w:styleId="Pa12">
    <w:name w:val="Pa12"/>
    <w:basedOn w:val="Normal"/>
    <w:next w:val="Normal"/>
    <w:uiPriority w:val="99"/>
    <w:rsid w:val="006C49FD"/>
    <w:pPr>
      <w:autoSpaceDE w:val="0"/>
      <w:autoSpaceDN w:val="0"/>
      <w:adjustRightInd w:val="0"/>
      <w:spacing w:line="241" w:lineRule="atLeast"/>
    </w:pPr>
    <w:rPr>
      <w:rFonts w:ascii="LFT Etica" w:hAnsi="LFT Etica"/>
      <w:lang w:val="en-GB"/>
    </w:rPr>
  </w:style>
  <w:style w:type="paragraph" w:customStyle="1" w:styleId="Pa8">
    <w:name w:val="Pa8"/>
    <w:basedOn w:val="Normal"/>
    <w:next w:val="Normal"/>
    <w:uiPriority w:val="99"/>
    <w:rsid w:val="006C49FD"/>
    <w:pPr>
      <w:autoSpaceDE w:val="0"/>
      <w:autoSpaceDN w:val="0"/>
      <w:adjustRightInd w:val="0"/>
      <w:spacing w:line="181" w:lineRule="atLeast"/>
    </w:pPr>
    <w:rPr>
      <w:rFonts w:ascii="LFT Etica Lt" w:hAnsi="LFT Etica Lt"/>
      <w:lang w:val="en-GB"/>
    </w:rPr>
  </w:style>
  <w:style w:type="paragraph" w:customStyle="1" w:styleId="Default">
    <w:name w:val="Default"/>
    <w:rsid w:val="006C49FD"/>
    <w:pPr>
      <w:autoSpaceDE w:val="0"/>
      <w:autoSpaceDN w:val="0"/>
      <w:adjustRightInd w:val="0"/>
    </w:pPr>
    <w:rPr>
      <w:rFonts w:ascii="Norwester" w:hAnsi="Norwester" w:cs="Norwester"/>
      <w:color w:val="000000"/>
      <w:lang w:val="en-GB"/>
    </w:rPr>
  </w:style>
  <w:style w:type="paragraph" w:customStyle="1" w:styleId="Pa19">
    <w:name w:val="Pa19"/>
    <w:basedOn w:val="Default"/>
    <w:next w:val="Default"/>
    <w:uiPriority w:val="99"/>
    <w:rsid w:val="00AD6E03"/>
    <w:pPr>
      <w:spacing w:line="181" w:lineRule="atLeast"/>
    </w:pPr>
    <w:rPr>
      <w:rFonts w:ascii="LFT Etica" w:hAnsi="LFT Etica" w:cstheme="minorBidi"/>
      <w:color w:val="auto"/>
    </w:rPr>
  </w:style>
  <w:style w:type="paragraph" w:customStyle="1" w:styleId="H4">
    <w:name w:val="H4"/>
    <w:basedOn w:val="BodyText1"/>
    <w:qFormat/>
    <w:rsid w:val="006C49FD"/>
    <w:rPr>
      <w:i/>
      <w:iCs/>
    </w:rPr>
  </w:style>
  <w:style w:type="character" w:customStyle="1" w:styleId="A11">
    <w:name w:val="A11"/>
    <w:uiPriority w:val="99"/>
    <w:rsid w:val="00AD6E03"/>
    <w:rPr>
      <w:rFonts w:cs="LFT Etica"/>
      <w:b/>
      <w:bCs/>
      <w:color w:val="FFFFFF"/>
      <w:sz w:val="19"/>
      <w:szCs w:val="19"/>
    </w:rPr>
  </w:style>
  <w:style w:type="paragraph" w:customStyle="1" w:styleId="Pa20">
    <w:name w:val="Pa20"/>
    <w:basedOn w:val="Default"/>
    <w:next w:val="Default"/>
    <w:uiPriority w:val="99"/>
    <w:rsid w:val="00AD6E03"/>
    <w:pPr>
      <w:spacing w:line="181" w:lineRule="atLeast"/>
    </w:pPr>
    <w:rPr>
      <w:rFonts w:ascii="LFT Etica" w:hAnsi="LFT Etica" w:cstheme="minorBidi"/>
      <w:color w:val="auto"/>
    </w:rPr>
  </w:style>
  <w:style w:type="paragraph" w:customStyle="1" w:styleId="Pa17">
    <w:name w:val="Pa17"/>
    <w:basedOn w:val="Default"/>
    <w:next w:val="Default"/>
    <w:uiPriority w:val="99"/>
    <w:rsid w:val="00AD6E03"/>
    <w:pPr>
      <w:spacing w:line="201" w:lineRule="atLeast"/>
    </w:pPr>
    <w:rPr>
      <w:rFonts w:ascii="LFT Etica" w:hAnsi="LFT Etica" w:cstheme="minorBidi"/>
      <w:color w:val="auto"/>
    </w:rPr>
  </w:style>
  <w:style w:type="paragraph" w:customStyle="1" w:styleId="Pa18">
    <w:name w:val="Pa18"/>
    <w:basedOn w:val="Default"/>
    <w:next w:val="Default"/>
    <w:uiPriority w:val="99"/>
    <w:rsid w:val="00D571C0"/>
    <w:pPr>
      <w:spacing w:line="181" w:lineRule="atLeast"/>
    </w:pPr>
    <w:rPr>
      <w:rFonts w:ascii="LFT Etica Lt" w:hAnsi="LFT Etica Lt" w:cstheme="minorBidi"/>
      <w:color w:val="auto"/>
    </w:rPr>
  </w:style>
  <w:style w:type="paragraph" w:customStyle="1" w:styleId="Pa5">
    <w:name w:val="Pa5"/>
    <w:basedOn w:val="Default"/>
    <w:next w:val="Default"/>
    <w:uiPriority w:val="99"/>
    <w:rsid w:val="00D571C0"/>
    <w:pPr>
      <w:spacing w:line="181" w:lineRule="atLeast"/>
    </w:pPr>
    <w:rPr>
      <w:rFonts w:ascii="LFT Etica" w:hAnsi="LFT Etica" w:cstheme="minorBidi"/>
      <w:color w:val="auto"/>
    </w:rPr>
  </w:style>
  <w:style w:type="character" w:customStyle="1" w:styleId="A8">
    <w:name w:val="A8"/>
    <w:uiPriority w:val="99"/>
    <w:rsid w:val="00D95663"/>
    <w:rPr>
      <w:rFonts w:cs="LFT Etica SB"/>
      <w:b/>
      <w:bCs/>
      <w:color w:val="FFFFFF"/>
      <w:sz w:val="25"/>
      <w:szCs w:val="25"/>
    </w:rPr>
  </w:style>
  <w:style w:type="paragraph" w:customStyle="1" w:styleId="Pa14">
    <w:name w:val="Pa14"/>
    <w:basedOn w:val="Default"/>
    <w:next w:val="Default"/>
    <w:uiPriority w:val="99"/>
    <w:rsid w:val="00D95663"/>
    <w:pPr>
      <w:spacing w:line="181" w:lineRule="atLeast"/>
    </w:pPr>
    <w:rPr>
      <w:rFonts w:ascii="LFT Etica" w:hAnsi="LFT Etica" w:cstheme="minorBidi"/>
      <w:color w:val="auto"/>
    </w:rPr>
  </w:style>
  <w:style w:type="character" w:customStyle="1" w:styleId="A6">
    <w:name w:val="A6"/>
    <w:uiPriority w:val="99"/>
    <w:rsid w:val="00743238"/>
    <w:rPr>
      <w:rFonts w:cs="LFT Etica"/>
      <w:b/>
      <w:bCs/>
      <w:color w:val="FFFFFF"/>
      <w:sz w:val="40"/>
      <w:szCs w:val="40"/>
    </w:rPr>
  </w:style>
  <w:style w:type="character" w:customStyle="1" w:styleId="A4">
    <w:name w:val="A4"/>
    <w:uiPriority w:val="99"/>
    <w:rsid w:val="00743238"/>
    <w:rPr>
      <w:rFonts w:cs="LFT Etica Lt"/>
      <w:b/>
      <w:bCs/>
      <w:color w:val="403F41"/>
    </w:rPr>
  </w:style>
  <w:style w:type="character" w:customStyle="1" w:styleId="A5">
    <w:name w:val="A5"/>
    <w:uiPriority w:val="99"/>
    <w:rsid w:val="00743238"/>
    <w:rPr>
      <w:rFonts w:ascii="LFT Etica" w:hAnsi="LFT Etica" w:cs="LFT Etica"/>
      <w:b/>
      <w:bCs/>
      <w:color w:val="403F4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pc.gov.a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acpc.gov.au/" TargetMode="External"/><Relationship Id="rId4" Type="http://schemas.openxmlformats.org/officeDocument/2006/relationships/webSettings" Target="webSettings.xml"/><Relationship Id="rId9" Type="http://schemas.openxmlformats.org/officeDocument/2006/relationships/hyperlink" Target="mailto:acpcenquiries@acpc.gov.au?subject=Enquiry"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13</Pages>
  <Words>4021</Words>
  <Characters>21194</Characters>
  <Application>Microsoft Office Word</Application>
  <DocSecurity>0</DocSecurity>
  <Lines>623</Lines>
  <Paragraphs>514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24701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Aged Care Pricing Commissioner Annual Report 1 July 2018 – 30 June 2019 </dc:title>
  <dc:subject>Annual Report 1 July 2018 – 30 June 2019</dc:subject>
  <dc:creator>Office Of The Aged Care Pricing Commissioner</dc:creator>
  <cp:keywords/>
  <dc:description/>
  <cp:lastModifiedBy>Alexandra Godfrey</cp:lastModifiedBy>
  <cp:revision>6</cp:revision>
  <dcterms:created xsi:type="dcterms:W3CDTF">2019-10-10T00:56:00Z</dcterms:created>
  <dcterms:modified xsi:type="dcterms:W3CDTF">2019-10-10T03:00:00Z</dcterms:modified>
  <cp:category/>
</cp:coreProperties>
</file>