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47EFD" w14:textId="5F8283CF" w:rsidR="00F03D46" w:rsidRDefault="00F03D46" w:rsidP="00D76623">
      <w:pPr>
        <w:pStyle w:val="BodyText"/>
        <w:spacing w:before="1000" w:after="1000"/>
      </w:pPr>
      <w:bookmarkStart w:id="0" w:name="_GoBack"/>
      <w:bookmarkEnd w:id="0"/>
      <w:r>
        <w:rPr>
          <w:noProof/>
          <w:lang w:val="en-AU" w:eastAsia="en-AU"/>
        </w:rPr>
        <w:drawing>
          <wp:inline distT="0" distB="0" distL="0" distR="0" wp14:anchorId="2D07870C" wp14:editId="1DC8FE7C">
            <wp:extent cx="1042451" cy="731544"/>
            <wp:effectExtent l="0" t="0" r="0" b="5080"/>
            <wp:docPr id="3" name="Picture 3" descr="Australian coat of ar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tralian Coat of Arms black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51" cy="73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A89A7" w14:textId="3B5376C4" w:rsidR="004F3370" w:rsidRPr="009C1AE7" w:rsidRDefault="004F3370" w:rsidP="00492652">
      <w:pPr>
        <w:pStyle w:val="Heading1"/>
        <w:rPr>
          <w:rFonts w:cs="Calibri"/>
          <w:sz w:val="32"/>
          <w:szCs w:val="32"/>
        </w:rPr>
      </w:pP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Pricing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4F1C48" w:rsidRPr="009C1AE7">
        <w:rPr>
          <w:rFonts w:cs="Calibri"/>
        </w:rPr>
        <w:br/>
      </w:r>
      <w:r w:rsidR="00272ECC" w:rsidRPr="009C1AE7">
        <w:rPr>
          <w:rFonts w:cs="Calibri"/>
          <w:b/>
          <w:sz w:val="64"/>
          <w:szCs w:val="64"/>
        </w:rPr>
        <w:t>Annual</w:t>
      </w:r>
      <w:r w:rsidR="001420EF" w:rsidRPr="009C1AE7">
        <w:rPr>
          <w:rFonts w:cs="Calibri"/>
          <w:b/>
          <w:sz w:val="64"/>
          <w:szCs w:val="64"/>
        </w:rPr>
        <w:t xml:space="preserve"> </w:t>
      </w:r>
      <w:r w:rsidR="00272ECC" w:rsidRPr="009C1AE7">
        <w:rPr>
          <w:rFonts w:cs="Calibri"/>
          <w:b/>
          <w:sz w:val="64"/>
          <w:szCs w:val="64"/>
        </w:rPr>
        <w:t>Report</w:t>
      </w:r>
      <w:r w:rsidR="004F1C48" w:rsidRPr="009C1AE7">
        <w:rPr>
          <w:rFonts w:cs="Calibri"/>
          <w:sz w:val="64"/>
          <w:szCs w:val="64"/>
        </w:rPr>
        <w:br/>
      </w:r>
      <w:r w:rsidRPr="009C1AE7">
        <w:rPr>
          <w:rFonts w:cs="Calibri"/>
          <w:sz w:val="32"/>
          <w:szCs w:val="32"/>
        </w:rPr>
        <w:t>1</w:t>
      </w:r>
      <w:r w:rsidR="001420EF" w:rsidRPr="009C1AE7">
        <w:rPr>
          <w:rFonts w:cs="Calibri"/>
          <w:sz w:val="32"/>
          <w:szCs w:val="32"/>
        </w:rPr>
        <w:t xml:space="preserve"> </w:t>
      </w:r>
      <w:r w:rsidRPr="009C1AE7">
        <w:rPr>
          <w:rFonts w:cs="Calibri"/>
          <w:sz w:val="32"/>
          <w:szCs w:val="32"/>
        </w:rPr>
        <w:t>JULY</w:t>
      </w:r>
      <w:r w:rsidR="001420EF" w:rsidRPr="009C1AE7">
        <w:rPr>
          <w:rFonts w:cs="Calibri"/>
          <w:sz w:val="32"/>
          <w:szCs w:val="32"/>
        </w:rPr>
        <w:t xml:space="preserve"> </w:t>
      </w:r>
      <w:r w:rsidRPr="009C1AE7">
        <w:rPr>
          <w:rFonts w:cs="Calibri"/>
          <w:sz w:val="32"/>
          <w:szCs w:val="32"/>
        </w:rPr>
        <w:t>2013</w:t>
      </w:r>
      <w:r w:rsidR="001420EF" w:rsidRPr="009C1AE7">
        <w:rPr>
          <w:rFonts w:cs="Calibri"/>
          <w:sz w:val="32"/>
          <w:szCs w:val="32"/>
        </w:rPr>
        <w:t xml:space="preserve"> </w:t>
      </w:r>
      <w:r w:rsidRPr="009C1AE7">
        <w:rPr>
          <w:rFonts w:cs="Calibri"/>
          <w:sz w:val="32"/>
          <w:szCs w:val="32"/>
        </w:rPr>
        <w:t>–</w:t>
      </w:r>
      <w:r w:rsidR="001420EF" w:rsidRPr="009C1AE7">
        <w:rPr>
          <w:rFonts w:cs="Calibri"/>
          <w:sz w:val="32"/>
          <w:szCs w:val="32"/>
        </w:rPr>
        <w:t xml:space="preserve"> </w:t>
      </w:r>
      <w:r w:rsidRPr="009C1AE7">
        <w:rPr>
          <w:rFonts w:cs="Calibri"/>
          <w:sz w:val="32"/>
          <w:szCs w:val="32"/>
        </w:rPr>
        <w:t>30</w:t>
      </w:r>
      <w:r w:rsidR="001420EF" w:rsidRPr="009C1AE7">
        <w:rPr>
          <w:rFonts w:cs="Calibri"/>
          <w:sz w:val="32"/>
          <w:szCs w:val="32"/>
        </w:rPr>
        <w:t xml:space="preserve"> </w:t>
      </w:r>
      <w:r w:rsidRPr="009C1AE7">
        <w:rPr>
          <w:rFonts w:cs="Calibri"/>
          <w:sz w:val="32"/>
          <w:szCs w:val="32"/>
        </w:rPr>
        <w:t>JUNE</w:t>
      </w:r>
      <w:r w:rsidR="001420EF" w:rsidRPr="009C1AE7">
        <w:rPr>
          <w:rFonts w:cs="Calibri"/>
          <w:sz w:val="32"/>
          <w:szCs w:val="32"/>
        </w:rPr>
        <w:t xml:space="preserve"> </w:t>
      </w:r>
      <w:r w:rsidRPr="009C1AE7">
        <w:rPr>
          <w:rFonts w:cs="Calibri"/>
          <w:sz w:val="32"/>
          <w:szCs w:val="32"/>
        </w:rPr>
        <w:t>2014</w:t>
      </w:r>
    </w:p>
    <w:p w14:paraId="4B7FBFCE" w14:textId="0EF01E21" w:rsidR="004F3370" w:rsidRPr="009C1AE7" w:rsidRDefault="004F3370" w:rsidP="00DF5CD4">
      <w:pPr>
        <w:pStyle w:val="Heading2"/>
        <w:rPr>
          <w:rFonts w:cs="Calibri"/>
        </w:rPr>
      </w:pPr>
      <w:bookmarkStart w:id="1" w:name="_Toc398463608"/>
      <w:r w:rsidRPr="009C1AE7">
        <w:rPr>
          <w:rFonts w:cs="Calibri"/>
        </w:rPr>
        <w:lastRenderedPageBreak/>
        <w:t>Letter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Transmittal</w:t>
      </w:r>
      <w:bookmarkEnd w:id="1"/>
    </w:p>
    <w:p w14:paraId="67AB5055" w14:textId="514C3B5E" w:rsidR="007D09B1" w:rsidRDefault="007D09B1" w:rsidP="007D09B1">
      <w:pPr>
        <w:pStyle w:val="BodyText"/>
        <w:spacing w:after="400"/>
        <w:rPr>
          <w:rFonts w:cs="Calibri"/>
        </w:rPr>
      </w:pPr>
      <w:r>
        <w:rPr>
          <w:rFonts w:cs="Calibri"/>
          <w:noProof/>
          <w:lang w:val="en-AU" w:eastAsia="en-AU"/>
        </w:rPr>
        <w:drawing>
          <wp:inline distT="0" distB="0" distL="0" distR="0" wp14:anchorId="748E55C5" wp14:editId="3D5E5D6A">
            <wp:extent cx="4310743" cy="879599"/>
            <wp:effectExtent l="0" t="0" r="7620" b="9525"/>
            <wp:docPr id="2" name="Picture 2" descr="Logo: Australian Government - Aged Care Pricing Commissio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PC_Logo_v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0743" cy="879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7A992" w14:textId="627C7F5E" w:rsidR="004F3370" w:rsidRPr="009C1AE7" w:rsidRDefault="004F3370" w:rsidP="007F06A1">
      <w:pPr>
        <w:pStyle w:val="BodyText"/>
        <w:spacing w:after="400"/>
        <w:rPr>
          <w:rFonts w:cs="Calibri"/>
        </w:rPr>
      </w:pPr>
      <w:r w:rsidRPr="009C1AE7">
        <w:rPr>
          <w:rFonts w:cs="Calibri"/>
        </w:rPr>
        <w:t>Office</w:t>
      </w:r>
      <w:r w:rsidR="001420EF" w:rsidRPr="009C1AE7">
        <w:rPr>
          <w:rFonts w:cs="Calibri"/>
        </w:rPr>
        <w:t xml:space="preserve"> </w:t>
      </w:r>
      <w:proofErr w:type="gramStart"/>
      <w:r w:rsidRPr="009C1AE7">
        <w:rPr>
          <w:rFonts w:cs="Calibri"/>
        </w:rPr>
        <w:t>Of</w:t>
      </w:r>
      <w:proofErr w:type="gramEnd"/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Pricing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7D09B1">
        <w:rPr>
          <w:rFonts w:cs="Calibri"/>
        </w:rPr>
        <w:br/>
      </w:r>
      <w:r w:rsidRPr="009C1AE7">
        <w:rPr>
          <w:rFonts w:cs="Calibri"/>
        </w:rPr>
        <w:t>Locked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Bag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5,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Haymarket</w:t>
      </w:r>
      <w:r w:rsidR="001420EF" w:rsidRPr="009C1AE7">
        <w:rPr>
          <w:rFonts w:cs="Calibri"/>
        </w:rPr>
        <w:t xml:space="preserve"> </w:t>
      </w:r>
      <w:proofErr w:type="spellStart"/>
      <w:r w:rsidRPr="009C1AE7">
        <w:rPr>
          <w:rFonts w:cs="Calibri"/>
        </w:rPr>
        <w:t>Nsw</w:t>
      </w:r>
      <w:proofErr w:type="spellEnd"/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1240</w:t>
      </w:r>
      <w:r w:rsidRPr="009C1AE7">
        <w:rPr>
          <w:rFonts w:cs="Calibri"/>
        </w:rPr>
        <w:br/>
        <w:t>Tel: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1300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550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970</w:t>
      </w:r>
    </w:p>
    <w:p w14:paraId="10C0FE50" w14:textId="244A4B97" w:rsidR="004F3370" w:rsidRPr="009C1AE7" w:rsidRDefault="004F3370" w:rsidP="007D09B1">
      <w:pPr>
        <w:pStyle w:val="BodyText"/>
        <w:spacing w:after="400"/>
        <w:rPr>
          <w:rFonts w:cs="Calibri"/>
        </w:rPr>
      </w:pPr>
      <w:r w:rsidRPr="009C1AE7">
        <w:rPr>
          <w:rFonts w:cs="Calibri"/>
        </w:rPr>
        <w:t>Senator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Hon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Mitch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Fifield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br/>
        <w:t>Assistant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Minister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Social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Services</w:t>
      </w:r>
      <w:r w:rsidRPr="009C1AE7">
        <w:rPr>
          <w:rFonts w:cs="Calibri"/>
        </w:rPr>
        <w:br/>
        <w:t>Parliament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House</w:t>
      </w:r>
      <w:r w:rsidRPr="009C1AE7">
        <w:rPr>
          <w:rFonts w:cs="Calibri"/>
        </w:rPr>
        <w:br/>
        <w:t>Canberra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2600</w:t>
      </w:r>
    </w:p>
    <w:p w14:paraId="56E90659" w14:textId="04627B4D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Dear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Minister</w:t>
      </w:r>
    </w:p>
    <w:p w14:paraId="44A56284" w14:textId="399D0C7C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accordance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with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Section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95B-12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7F06A1">
        <w:rPr>
          <w:rStyle w:val="Emphasis"/>
        </w:rPr>
        <w:t>Aged</w:t>
      </w:r>
      <w:r w:rsidR="001420EF" w:rsidRPr="007F06A1">
        <w:rPr>
          <w:rStyle w:val="Emphasis"/>
        </w:rPr>
        <w:t xml:space="preserve"> </w:t>
      </w:r>
      <w:r w:rsidRPr="007F06A1">
        <w:rPr>
          <w:rStyle w:val="Emphasis"/>
        </w:rPr>
        <w:t>Care</w:t>
      </w:r>
      <w:r w:rsidR="001420EF" w:rsidRPr="007F06A1">
        <w:rPr>
          <w:rStyle w:val="Emphasis"/>
        </w:rPr>
        <w:t xml:space="preserve"> </w:t>
      </w:r>
      <w:r w:rsidRPr="007F06A1">
        <w:rPr>
          <w:rStyle w:val="Emphasis"/>
        </w:rPr>
        <w:t>Act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1997,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present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you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Annual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Report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Pricing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covering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Commissioner’s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operations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year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1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July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2013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30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June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2014.</w:t>
      </w:r>
    </w:p>
    <w:p w14:paraId="17C14828" w14:textId="410FC409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Yours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sincerely,</w:t>
      </w:r>
    </w:p>
    <w:p w14:paraId="6CF9F714" w14:textId="009B9A05" w:rsidR="004F3370" w:rsidRDefault="004F3370" w:rsidP="00E75708">
      <w:pPr>
        <w:pStyle w:val="BodyText"/>
        <w:rPr>
          <w:rFonts w:cs="Calibri"/>
          <w:noProof/>
          <w:lang w:val="en-AU" w:eastAsia="en-AU"/>
        </w:rPr>
      </w:pPr>
    </w:p>
    <w:p w14:paraId="6C705ABA" w14:textId="77777777" w:rsidR="00822A4C" w:rsidRDefault="00822A4C" w:rsidP="00E75708">
      <w:pPr>
        <w:pStyle w:val="BodyText"/>
        <w:rPr>
          <w:rFonts w:cs="Calibri"/>
          <w:noProof/>
          <w:lang w:val="en-AU" w:eastAsia="en-AU"/>
        </w:rPr>
      </w:pPr>
    </w:p>
    <w:p w14:paraId="2D557228" w14:textId="77777777" w:rsidR="00822A4C" w:rsidRPr="009C1AE7" w:rsidRDefault="00822A4C" w:rsidP="00E75708">
      <w:pPr>
        <w:pStyle w:val="BodyText"/>
        <w:rPr>
          <w:rFonts w:cs="Calibri"/>
        </w:rPr>
      </w:pPr>
    </w:p>
    <w:p w14:paraId="302AB02C" w14:textId="5B072D36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  <w:b/>
        </w:rPr>
        <w:t>Kim</w:t>
      </w:r>
      <w:r w:rsidR="001420EF" w:rsidRPr="009C1AE7">
        <w:rPr>
          <w:rFonts w:cs="Calibri"/>
          <w:b/>
        </w:rPr>
        <w:t xml:space="preserve"> </w:t>
      </w:r>
      <w:r w:rsidRPr="009C1AE7">
        <w:rPr>
          <w:rFonts w:cs="Calibri"/>
          <w:b/>
        </w:rPr>
        <w:t>Cull</w:t>
      </w:r>
      <w:r w:rsidR="007D09B1">
        <w:rPr>
          <w:rFonts w:cs="Calibri"/>
          <w:b/>
        </w:rPr>
        <w:br/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Pricing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</w:p>
    <w:p w14:paraId="70B55C0D" w14:textId="77777777" w:rsidR="004F3370" w:rsidRPr="009C1AE7" w:rsidRDefault="004F3370" w:rsidP="00E268B9">
      <w:pPr>
        <w:pStyle w:val="Heading2TOCpage"/>
      </w:pPr>
      <w:r w:rsidRPr="009C1AE7">
        <w:lastRenderedPageBreak/>
        <w:t>Contents</w:t>
      </w:r>
    </w:p>
    <w:p w14:paraId="40F3E0B6" w14:textId="77777777" w:rsidR="00CD492A" w:rsidRPr="00C44B43" w:rsidRDefault="00CD492A" w:rsidP="00E33989">
      <w:pPr>
        <w:pStyle w:val="TOC1"/>
      </w:pPr>
      <w:r>
        <w:fldChar w:fldCharType="begin"/>
      </w:r>
      <w:r>
        <w:instrText xml:space="preserve"> TOC \h \z \t "Heading 2,1,Heading 3,2" </w:instrText>
      </w:r>
      <w:r>
        <w:fldChar w:fldCharType="separate"/>
      </w:r>
      <w:hyperlink w:anchor="_Toc398463608" w:history="1">
        <w:r w:rsidRPr="00C44B43">
          <w:rPr>
            <w:rStyle w:val="Hyperlink"/>
          </w:rPr>
          <w:t>Letter of Transmittal</w:t>
        </w:r>
        <w:r w:rsidRPr="00C44B43">
          <w:rPr>
            <w:webHidden/>
          </w:rPr>
          <w:tab/>
        </w:r>
        <w:r w:rsidRPr="00C44B43">
          <w:rPr>
            <w:webHidden/>
          </w:rPr>
          <w:fldChar w:fldCharType="begin"/>
        </w:r>
        <w:r w:rsidRPr="00C44B43">
          <w:rPr>
            <w:webHidden/>
          </w:rPr>
          <w:instrText xml:space="preserve"> PAGEREF _Toc398463608 \h </w:instrText>
        </w:r>
        <w:r w:rsidRPr="00C44B43">
          <w:rPr>
            <w:webHidden/>
          </w:rPr>
        </w:r>
        <w:r w:rsidRPr="00C44B43">
          <w:rPr>
            <w:webHidden/>
          </w:rPr>
          <w:fldChar w:fldCharType="separate"/>
        </w:r>
        <w:r w:rsidRPr="00C44B43">
          <w:rPr>
            <w:webHidden/>
          </w:rPr>
          <w:t>2</w:t>
        </w:r>
        <w:r w:rsidRPr="00C44B43">
          <w:rPr>
            <w:webHidden/>
          </w:rPr>
          <w:fldChar w:fldCharType="end"/>
        </w:r>
      </w:hyperlink>
    </w:p>
    <w:p w14:paraId="67008892" w14:textId="77777777" w:rsidR="00CD492A" w:rsidRDefault="00E217EE" w:rsidP="00E33989">
      <w:pPr>
        <w:pStyle w:val="TOC1"/>
      </w:pPr>
      <w:hyperlink w:anchor="_Toc398463609" w:history="1">
        <w:r w:rsidR="00CD492A" w:rsidRPr="00CE23EC">
          <w:rPr>
            <w:rStyle w:val="Hyperlink"/>
          </w:rPr>
          <w:t>Commissioner’s Overview</w:t>
        </w:r>
        <w:r w:rsidR="00CD492A">
          <w:rPr>
            <w:webHidden/>
          </w:rPr>
          <w:tab/>
        </w:r>
        <w:r w:rsidR="00CD492A">
          <w:rPr>
            <w:webHidden/>
          </w:rPr>
          <w:fldChar w:fldCharType="begin"/>
        </w:r>
        <w:r w:rsidR="00CD492A">
          <w:rPr>
            <w:webHidden/>
          </w:rPr>
          <w:instrText xml:space="preserve"> PAGEREF _Toc398463609 \h </w:instrText>
        </w:r>
        <w:r w:rsidR="00CD492A">
          <w:rPr>
            <w:webHidden/>
          </w:rPr>
        </w:r>
        <w:r w:rsidR="00CD492A">
          <w:rPr>
            <w:webHidden/>
          </w:rPr>
          <w:fldChar w:fldCharType="separate"/>
        </w:r>
        <w:r w:rsidR="00CD492A">
          <w:rPr>
            <w:webHidden/>
          </w:rPr>
          <w:t>4</w:t>
        </w:r>
        <w:r w:rsidR="00CD492A">
          <w:rPr>
            <w:webHidden/>
          </w:rPr>
          <w:fldChar w:fldCharType="end"/>
        </w:r>
      </w:hyperlink>
    </w:p>
    <w:p w14:paraId="1A843CCE" w14:textId="77777777" w:rsidR="00CD492A" w:rsidRDefault="00E217EE" w:rsidP="00E33989">
      <w:pPr>
        <w:pStyle w:val="TOC1"/>
      </w:pPr>
      <w:hyperlink w:anchor="_Toc398463610" w:history="1">
        <w:r w:rsidR="00CD492A" w:rsidRPr="00CE23EC">
          <w:rPr>
            <w:rStyle w:val="Hyperlink"/>
          </w:rPr>
          <w:t>Functions</w:t>
        </w:r>
        <w:r w:rsidR="00CD492A">
          <w:rPr>
            <w:webHidden/>
          </w:rPr>
          <w:tab/>
        </w:r>
        <w:r w:rsidR="00CD492A">
          <w:rPr>
            <w:webHidden/>
          </w:rPr>
          <w:fldChar w:fldCharType="begin"/>
        </w:r>
        <w:r w:rsidR="00CD492A">
          <w:rPr>
            <w:webHidden/>
          </w:rPr>
          <w:instrText xml:space="preserve"> PAGEREF _Toc398463610 \h </w:instrText>
        </w:r>
        <w:r w:rsidR="00CD492A">
          <w:rPr>
            <w:webHidden/>
          </w:rPr>
        </w:r>
        <w:r w:rsidR="00CD492A">
          <w:rPr>
            <w:webHidden/>
          </w:rPr>
          <w:fldChar w:fldCharType="separate"/>
        </w:r>
        <w:r w:rsidR="00CD492A">
          <w:rPr>
            <w:webHidden/>
          </w:rPr>
          <w:t>6</w:t>
        </w:r>
        <w:r w:rsidR="00CD492A">
          <w:rPr>
            <w:webHidden/>
          </w:rPr>
          <w:fldChar w:fldCharType="end"/>
        </w:r>
      </w:hyperlink>
    </w:p>
    <w:p w14:paraId="5E1D76A9" w14:textId="77777777" w:rsidR="00CD492A" w:rsidRDefault="00E217EE" w:rsidP="00E33989">
      <w:pPr>
        <w:pStyle w:val="TOC2"/>
        <w:rPr>
          <w:noProof/>
        </w:rPr>
      </w:pPr>
      <w:hyperlink w:anchor="_Toc398463611" w:history="1">
        <w:r w:rsidR="00CD492A" w:rsidRPr="00CE23EC">
          <w:rPr>
            <w:rStyle w:val="Hyperlink"/>
            <w:rFonts w:cs="Calibri"/>
            <w:noProof/>
          </w:rPr>
          <w:t>1.</w:t>
        </w:r>
        <w:r w:rsidR="00CD492A">
          <w:rPr>
            <w:noProof/>
          </w:rPr>
          <w:tab/>
        </w:r>
        <w:r w:rsidR="00CD492A" w:rsidRPr="00CE23EC">
          <w:rPr>
            <w:rStyle w:val="Hyperlink"/>
            <w:rFonts w:cs="Calibri"/>
            <w:noProof/>
          </w:rPr>
          <w:t>Applications for accommodation payments</w:t>
        </w:r>
        <w:r w:rsidR="00CD492A">
          <w:rPr>
            <w:noProof/>
            <w:webHidden/>
          </w:rPr>
          <w:tab/>
        </w:r>
        <w:r w:rsidR="00CD492A">
          <w:rPr>
            <w:noProof/>
            <w:webHidden/>
          </w:rPr>
          <w:fldChar w:fldCharType="begin"/>
        </w:r>
        <w:r w:rsidR="00CD492A">
          <w:rPr>
            <w:noProof/>
            <w:webHidden/>
          </w:rPr>
          <w:instrText xml:space="preserve"> PAGEREF _Toc398463611 \h </w:instrText>
        </w:r>
        <w:r w:rsidR="00CD492A">
          <w:rPr>
            <w:noProof/>
            <w:webHidden/>
          </w:rPr>
        </w:r>
        <w:r w:rsidR="00CD492A">
          <w:rPr>
            <w:noProof/>
            <w:webHidden/>
          </w:rPr>
          <w:fldChar w:fldCharType="separate"/>
        </w:r>
        <w:r w:rsidR="00CD492A">
          <w:rPr>
            <w:noProof/>
            <w:webHidden/>
          </w:rPr>
          <w:t>6</w:t>
        </w:r>
        <w:r w:rsidR="00CD492A">
          <w:rPr>
            <w:noProof/>
            <w:webHidden/>
          </w:rPr>
          <w:fldChar w:fldCharType="end"/>
        </w:r>
      </w:hyperlink>
    </w:p>
    <w:p w14:paraId="2B5E2AB4" w14:textId="77777777" w:rsidR="00CD492A" w:rsidRDefault="00E217EE" w:rsidP="00E33989">
      <w:pPr>
        <w:pStyle w:val="TOC2"/>
        <w:rPr>
          <w:noProof/>
        </w:rPr>
      </w:pPr>
      <w:hyperlink w:anchor="_Toc398463612" w:history="1">
        <w:r w:rsidR="00CD492A" w:rsidRPr="00CE23EC">
          <w:rPr>
            <w:rStyle w:val="Hyperlink"/>
            <w:rFonts w:cs="Calibri"/>
            <w:noProof/>
          </w:rPr>
          <w:t>2.</w:t>
        </w:r>
        <w:r w:rsidR="00CD492A">
          <w:rPr>
            <w:noProof/>
          </w:rPr>
          <w:tab/>
        </w:r>
        <w:r w:rsidR="00CD492A" w:rsidRPr="00CE23EC">
          <w:rPr>
            <w:rStyle w:val="Hyperlink"/>
            <w:rFonts w:cs="Calibri"/>
            <w:noProof/>
          </w:rPr>
          <w:t>Applications for approval of Extra Service fees</w:t>
        </w:r>
        <w:r w:rsidR="00CD492A">
          <w:rPr>
            <w:noProof/>
            <w:webHidden/>
          </w:rPr>
          <w:tab/>
        </w:r>
        <w:r w:rsidR="00CD492A">
          <w:rPr>
            <w:noProof/>
            <w:webHidden/>
          </w:rPr>
          <w:fldChar w:fldCharType="begin"/>
        </w:r>
        <w:r w:rsidR="00CD492A">
          <w:rPr>
            <w:noProof/>
            <w:webHidden/>
          </w:rPr>
          <w:instrText xml:space="preserve"> PAGEREF _Toc398463612 \h </w:instrText>
        </w:r>
        <w:r w:rsidR="00CD492A">
          <w:rPr>
            <w:noProof/>
            <w:webHidden/>
          </w:rPr>
        </w:r>
        <w:r w:rsidR="00CD492A">
          <w:rPr>
            <w:noProof/>
            <w:webHidden/>
          </w:rPr>
          <w:fldChar w:fldCharType="separate"/>
        </w:r>
        <w:r w:rsidR="00CD492A">
          <w:rPr>
            <w:noProof/>
            <w:webHidden/>
          </w:rPr>
          <w:t>6</w:t>
        </w:r>
        <w:r w:rsidR="00CD492A">
          <w:rPr>
            <w:noProof/>
            <w:webHidden/>
          </w:rPr>
          <w:fldChar w:fldCharType="end"/>
        </w:r>
      </w:hyperlink>
    </w:p>
    <w:p w14:paraId="56991827" w14:textId="77777777" w:rsidR="00CD492A" w:rsidRDefault="00E217EE" w:rsidP="00E33989">
      <w:pPr>
        <w:pStyle w:val="TOC2"/>
        <w:rPr>
          <w:noProof/>
        </w:rPr>
      </w:pPr>
      <w:hyperlink w:anchor="_Toc398463613" w:history="1">
        <w:r w:rsidR="00CD492A" w:rsidRPr="00CE23EC">
          <w:rPr>
            <w:rStyle w:val="Hyperlink"/>
            <w:rFonts w:cs="Calibri"/>
            <w:noProof/>
          </w:rPr>
          <w:t>3.</w:t>
        </w:r>
        <w:r w:rsidR="00CD492A">
          <w:rPr>
            <w:noProof/>
          </w:rPr>
          <w:tab/>
        </w:r>
        <w:r w:rsidR="00CD492A" w:rsidRPr="00CE23EC">
          <w:rPr>
            <w:rStyle w:val="Hyperlink"/>
            <w:rFonts w:cs="Calibri"/>
            <w:noProof/>
          </w:rPr>
          <w:t>Internal and external review</w:t>
        </w:r>
        <w:r w:rsidR="00CD492A">
          <w:rPr>
            <w:noProof/>
            <w:webHidden/>
          </w:rPr>
          <w:tab/>
        </w:r>
        <w:r w:rsidR="00CD492A">
          <w:rPr>
            <w:noProof/>
            <w:webHidden/>
          </w:rPr>
          <w:fldChar w:fldCharType="begin"/>
        </w:r>
        <w:r w:rsidR="00CD492A">
          <w:rPr>
            <w:noProof/>
            <w:webHidden/>
          </w:rPr>
          <w:instrText xml:space="preserve"> PAGEREF _Toc398463613 \h </w:instrText>
        </w:r>
        <w:r w:rsidR="00CD492A">
          <w:rPr>
            <w:noProof/>
            <w:webHidden/>
          </w:rPr>
        </w:r>
        <w:r w:rsidR="00CD492A">
          <w:rPr>
            <w:noProof/>
            <w:webHidden/>
          </w:rPr>
          <w:fldChar w:fldCharType="separate"/>
        </w:r>
        <w:r w:rsidR="00CD492A">
          <w:rPr>
            <w:noProof/>
            <w:webHidden/>
          </w:rPr>
          <w:t>6</w:t>
        </w:r>
        <w:r w:rsidR="00CD492A">
          <w:rPr>
            <w:noProof/>
            <w:webHidden/>
          </w:rPr>
          <w:fldChar w:fldCharType="end"/>
        </w:r>
      </w:hyperlink>
    </w:p>
    <w:p w14:paraId="4A406510" w14:textId="77777777" w:rsidR="00CD492A" w:rsidRDefault="00E217EE" w:rsidP="00E33989">
      <w:pPr>
        <w:pStyle w:val="TOC2"/>
        <w:rPr>
          <w:noProof/>
        </w:rPr>
      </w:pPr>
      <w:hyperlink w:anchor="_Toc398463614" w:history="1">
        <w:r w:rsidR="00CD492A" w:rsidRPr="00CE23EC">
          <w:rPr>
            <w:rStyle w:val="Hyperlink"/>
            <w:rFonts w:cs="Calibri"/>
            <w:noProof/>
          </w:rPr>
          <w:t>4.</w:t>
        </w:r>
        <w:r w:rsidR="00CD492A">
          <w:rPr>
            <w:noProof/>
          </w:rPr>
          <w:tab/>
        </w:r>
        <w:r w:rsidR="00CD492A" w:rsidRPr="00CE23EC">
          <w:rPr>
            <w:rStyle w:val="Hyperlink"/>
            <w:rFonts w:cs="Calibri"/>
            <w:noProof/>
          </w:rPr>
          <w:t>Freedom of Information requests</w:t>
        </w:r>
        <w:r w:rsidR="00CD492A">
          <w:rPr>
            <w:noProof/>
            <w:webHidden/>
          </w:rPr>
          <w:tab/>
        </w:r>
        <w:r w:rsidR="00CD492A">
          <w:rPr>
            <w:noProof/>
            <w:webHidden/>
          </w:rPr>
          <w:fldChar w:fldCharType="begin"/>
        </w:r>
        <w:r w:rsidR="00CD492A">
          <w:rPr>
            <w:noProof/>
            <w:webHidden/>
          </w:rPr>
          <w:instrText xml:space="preserve"> PAGEREF _Toc398463614 \h </w:instrText>
        </w:r>
        <w:r w:rsidR="00CD492A">
          <w:rPr>
            <w:noProof/>
            <w:webHidden/>
          </w:rPr>
        </w:r>
        <w:r w:rsidR="00CD492A">
          <w:rPr>
            <w:noProof/>
            <w:webHidden/>
          </w:rPr>
          <w:fldChar w:fldCharType="separate"/>
        </w:r>
        <w:r w:rsidR="00CD492A">
          <w:rPr>
            <w:noProof/>
            <w:webHidden/>
          </w:rPr>
          <w:t>6</w:t>
        </w:r>
        <w:r w:rsidR="00CD492A">
          <w:rPr>
            <w:noProof/>
            <w:webHidden/>
          </w:rPr>
          <w:fldChar w:fldCharType="end"/>
        </w:r>
      </w:hyperlink>
    </w:p>
    <w:p w14:paraId="2371E8F0" w14:textId="77777777" w:rsidR="00CD492A" w:rsidRDefault="00E217EE" w:rsidP="00E33989">
      <w:pPr>
        <w:pStyle w:val="TOC1"/>
      </w:pPr>
      <w:hyperlink w:anchor="_Toc398463615" w:history="1">
        <w:r w:rsidR="00CD492A" w:rsidRPr="00CE23EC">
          <w:rPr>
            <w:rStyle w:val="Hyperlink"/>
          </w:rPr>
          <w:t>About the Office of The Aged Care Pricing Commissioner</w:t>
        </w:r>
        <w:r w:rsidR="00CD492A">
          <w:rPr>
            <w:webHidden/>
          </w:rPr>
          <w:tab/>
        </w:r>
        <w:r w:rsidR="00CD492A">
          <w:rPr>
            <w:webHidden/>
          </w:rPr>
          <w:fldChar w:fldCharType="begin"/>
        </w:r>
        <w:r w:rsidR="00CD492A">
          <w:rPr>
            <w:webHidden/>
          </w:rPr>
          <w:instrText xml:space="preserve"> PAGEREF _Toc398463615 \h </w:instrText>
        </w:r>
        <w:r w:rsidR="00CD492A">
          <w:rPr>
            <w:webHidden/>
          </w:rPr>
        </w:r>
        <w:r w:rsidR="00CD492A">
          <w:rPr>
            <w:webHidden/>
          </w:rPr>
          <w:fldChar w:fldCharType="separate"/>
        </w:r>
        <w:r w:rsidR="00CD492A">
          <w:rPr>
            <w:webHidden/>
          </w:rPr>
          <w:t>7</w:t>
        </w:r>
        <w:r w:rsidR="00CD492A">
          <w:rPr>
            <w:webHidden/>
          </w:rPr>
          <w:fldChar w:fldCharType="end"/>
        </w:r>
      </w:hyperlink>
    </w:p>
    <w:p w14:paraId="6401F5A9" w14:textId="77777777" w:rsidR="00CD492A" w:rsidRDefault="00E217EE" w:rsidP="00E33989">
      <w:pPr>
        <w:pStyle w:val="TOC2"/>
        <w:rPr>
          <w:noProof/>
        </w:rPr>
      </w:pPr>
      <w:hyperlink w:anchor="_Toc398463616" w:history="1">
        <w:r w:rsidR="00CD492A" w:rsidRPr="00CE23EC">
          <w:rPr>
            <w:rStyle w:val="Hyperlink"/>
            <w:rFonts w:cs="Calibri"/>
            <w:noProof/>
          </w:rPr>
          <w:t>5.</w:t>
        </w:r>
        <w:r w:rsidR="00CD492A">
          <w:rPr>
            <w:noProof/>
          </w:rPr>
          <w:tab/>
        </w:r>
        <w:r w:rsidR="00CD492A" w:rsidRPr="00CE23EC">
          <w:rPr>
            <w:rStyle w:val="Hyperlink"/>
            <w:rFonts w:cs="Calibri"/>
            <w:noProof/>
          </w:rPr>
          <w:t>Corporate governance</w:t>
        </w:r>
        <w:r w:rsidR="00CD492A">
          <w:rPr>
            <w:noProof/>
            <w:webHidden/>
          </w:rPr>
          <w:tab/>
        </w:r>
        <w:r w:rsidR="00CD492A">
          <w:rPr>
            <w:noProof/>
            <w:webHidden/>
          </w:rPr>
          <w:fldChar w:fldCharType="begin"/>
        </w:r>
        <w:r w:rsidR="00CD492A">
          <w:rPr>
            <w:noProof/>
            <w:webHidden/>
          </w:rPr>
          <w:instrText xml:space="preserve"> PAGEREF _Toc398463616 \h </w:instrText>
        </w:r>
        <w:r w:rsidR="00CD492A">
          <w:rPr>
            <w:noProof/>
            <w:webHidden/>
          </w:rPr>
        </w:r>
        <w:r w:rsidR="00CD492A">
          <w:rPr>
            <w:noProof/>
            <w:webHidden/>
          </w:rPr>
          <w:fldChar w:fldCharType="separate"/>
        </w:r>
        <w:r w:rsidR="00CD492A">
          <w:rPr>
            <w:noProof/>
            <w:webHidden/>
          </w:rPr>
          <w:t>7</w:t>
        </w:r>
        <w:r w:rsidR="00CD492A">
          <w:rPr>
            <w:noProof/>
            <w:webHidden/>
          </w:rPr>
          <w:fldChar w:fldCharType="end"/>
        </w:r>
      </w:hyperlink>
    </w:p>
    <w:p w14:paraId="3A3A3042" w14:textId="77777777" w:rsidR="00CD492A" w:rsidRDefault="00E217EE" w:rsidP="00E33989">
      <w:pPr>
        <w:pStyle w:val="TOC2"/>
        <w:rPr>
          <w:noProof/>
        </w:rPr>
      </w:pPr>
      <w:hyperlink w:anchor="_Toc398463617" w:history="1">
        <w:r w:rsidR="00CD492A" w:rsidRPr="00CE23EC">
          <w:rPr>
            <w:rStyle w:val="Hyperlink"/>
            <w:rFonts w:cs="Calibri"/>
            <w:noProof/>
          </w:rPr>
          <w:t>7.</w:t>
        </w:r>
        <w:r w:rsidR="00CD492A">
          <w:rPr>
            <w:noProof/>
          </w:rPr>
          <w:tab/>
        </w:r>
        <w:r w:rsidR="00CD492A" w:rsidRPr="00CE23EC">
          <w:rPr>
            <w:rStyle w:val="Hyperlink"/>
            <w:rFonts w:cs="Calibri"/>
            <w:noProof/>
          </w:rPr>
          <w:t>Budget and staffing</w:t>
        </w:r>
        <w:r w:rsidR="00CD492A">
          <w:rPr>
            <w:noProof/>
            <w:webHidden/>
          </w:rPr>
          <w:tab/>
        </w:r>
        <w:r w:rsidR="00CD492A">
          <w:rPr>
            <w:noProof/>
            <w:webHidden/>
          </w:rPr>
          <w:fldChar w:fldCharType="begin"/>
        </w:r>
        <w:r w:rsidR="00CD492A">
          <w:rPr>
            <w:noProof/>
            <w:webHidden/>
          </w:rPr>
          <w:instrText xml:space="preserve"> PAGEREF _Toc398463617 \h </w:instrText>
        </w:r>
        <w:r w:rsidR="00CD492A">
          <w:rPr>
            <w:noProof/>
            <w:webHidden/>
          </w:rPr>
        </w:r>
        <w:r w:rsidR="00CD492A">
          <w:rPr>
            <w:noProof/>
            <w:webHidden/>
          </w:rPr>
          <w:fldChar w:fldCharType="separate"/>
        </w:r>
        <w:r w:rsidR="00CD492A">
          <w:rPr>
            <w:noProof/>
            <w:webHidden/>
          </w:rPr>
          <w:t>7</w:t>
        </w:r>
        <w:r w:rsidR="00CD492A">
          <w:rPr>
            <w:noProof/>
            <w:webHidden/>
          </w:rPr>
          <w:fldChar w:fldCharType="end"/>
        </w:r>
      </w:hyperlink>
    </w:p>
    <w:p w14:paraId="655A21FA" w14:textId="77777777" w:rsidR="00CD492A" w:rsidRDefault="00E217EE" w:rsidP="00E33989">
      <w:pPr>
        <w:pStyle w:val="TOC2"/>
        <w:rPr>
          <w:noProof/>
        </w:rPr>
      </w:pPr>
      <w:hyperlink w:anchor="_Toc398463618" w:history="1">
        <w:r w:rsidR="00CD492A" w:rsidRPr="00CE23EC">
          <w:rPr>
            <w:rStyle w:val="Hyperlink"/>
            <w:rFonts w:cs="Calibri"/>
            <w:noProof/>
          </w:rPr>
          <w:t>6.</w:t>
        </w:r>
        <w:r w:rsidR="00CD492A">
          <w:rPr>
            <w:noProof/>
          </w:rPr>
          <w:tab/>
        </w:r>
        <w:r w:rsidR="00CD492A" w:rsidRPr="00CE23EC">
          <w:rPr>
            <w:rStyle w:val="Hyperlink"/>
            <w:rFonts w:cs="Calibri"/>
            <w:noProof/>
          </w:rPr>
          <w:t>Performance</w:t>
        </w:r>
        <w:r w:rsidR="00CD492A">
          <w:rPr>
            <w:noProof/>
            <w:webHidden/>
          </w:rPr>
          <w:tab/>
        </w:r>
        <w:r w:rsidR="00CD492A">
          <w:rPr>
            <w:noProof/>
            <w:webHidden/>
          </w:rPr>
          <w:fldChar w:fldCharType="begin"/>
        </w:r>
        <w:r w:rsidR="00CD492A">
          <w:rPr>
            <w:noProof/>
            <w:webHidden/>
          </w:rPr>
          <w:instrText xml:space="preserve"> PAGEREF _Toc398463618 \h </w:instrText>
        </w:r>
        <w:r w:rsidR="00CD492A">
          <w:rPr>
            <w:noProof/>
            <w:webHidden/>
          </w:rPr>
        </w:r>
        <w:r w:rsidR="00CD492A">
          <w:rPr>
            <w:noProof/>
            <w:webHidden/>
          </w:rPr>
          <w:fldChar w:fldCharType="separate"/>
        </w:r>
        <w:r w:rsidR="00CD492A">
          <w:rPr>
            <w:noProof/>
            <w:webHidden/>
          </w:rPr>
          <w:t>7</w:t>
        </w:r>
        <w:r w:rsidR="00CD492A">
          <w:rPr>
            <w:noProof/>
            <w:webHidden/>
          </w:rPr>
          <w:fldChar w:fldCharType="end"/>
        </w:r>
      </w:hyperlink>
    </w:p>
    <w:p w14:paraId="4DD65108" w14:textId="77777777" w:rsidR="00CD492A" w:rsidRDefault="00E217EE" w:rsidP="00E33989">
      <w:pPr>
        <w:pStyle w:val="TOC1"/>
      </w:pPr>
      <w:hyperlink w:anchor="_Toc398463619" w:history="1">
        <w:r w:rsidR="00CD492A" w:rsidRPr="00CE23EC">
          <w:rPr>
            <w:rStyle w:val="Hyperlink"/>
          </w:rPr>
          <w:t>Contacts</w:t>
        </w:r>
        <w:r w:rsidR="00CD492A">
          <w:rPr>
            <w:webHidden/>
          </w:rPr>
          <w:tab/>
        </w:r>
        <w:r w:rsidR="00CD492A">
          <w:rPr>
            <w:webHidden/>
          </w:rPr>
          <w:fldChar w:fldCharType="begin"/>
        </w:r>
        <w:r w:rsidR="00CD492A">
          <w:rPr>
            <w:webHidden/>
          </w:rPr>
          <w:instrText xml:space="preserve"> PAGEREF _Toc398463619 \h </w:instrText>
        </w:r>
        <w:r w:rsidR="00CD492A">
          <w:rPr>
            <w:webHidden/>
          </w:rPr>
        </w:r>
        <w:r w:rsidR="00CD492A">
          <w:rPr>
            <w:webHidden/>
          </w:rPr>
          <w:fldChar w:fldCharType="separate"/>
        </w:r>
        <w:r w:rsidR="00CD492A">
          <w:rPr>
            <w:webHidden/>
          </w:rPr>
          <w:t>8</w:t>
        </w:r>
        <w:r w:rsidR="00CD492A">
          <w:rPr>
            <w:webHidden/>
          </w:rPr>
          <w:fldChar w:fldCharType="end"/>
        </w:r>
      </w:hyperlink>
    </w:p>
    <w:p w14:paraId="2D4C116E" w14:textId="77777777" w:rsidR="009C049A" w:rsidRPr="009C1AE7" w:rsidRDefault="00CD492A" w:rsidP="00E33989">
      <w:pPr>
        <w:tabs>
          <w:tab w:val="right" w:pos="8505"/>
        </w:tabs>
        <w:rPr>
          <w:rFonts w:cs="Calibri"/>
        </w:rPr>
      </w:pPr>
      <w:r>
        <w:rPr>
          <w:rFonts w:cs="Calibri"/>
        </w:rPr>
        <w:fldChar w:fldCharType="end"/>
      </w:r>
    </w:p>
    <w:p w14:paraId="78995747" w14:textId="76165BD5" w:rsidR="004F3370" w:rsidRPr="009C1AE7" w:rsidRDefault="004F3370" w:rsidP="00EA71C8">
      <w:pPr>
        <w:pStyle w:val="Heading2"/>
        <w:rPr>
          <w:rFonts w:cs="Calibri"/>
          <w:sz w:val="36"/>
          <w:szCs w:val="36"/>
        </w:rPr>
      </w:pPr>
      <w:bookmarkStart w:id="2" w:name="_Toc398463609"/>
      <w:r w:rsidRPr="009C1AE7">
        <w:rPr>
          <w:rFonts w:cs="Calibri"/>
        </w:rPr>
        <w:lastRenderedPageBreak/>
        <w:t>Commissioner’s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Overview</w:t>
      </w:r>
      <w:bookmarkEnd w:id="2"/>
    </w:p>
    <w:p w14:paraId="2DB6490A" w14:textId="3D31C3A8" w:rsidR="004F3370" w:rsidRPr="009C1AE7" w:rsidRDefault="004F3370" w:rsidP="001420EF">
      <w:pPr>
        <w:pStyle w:val="BodyText"/>
        <w:rPr>
          <w:rStyle w:val="Strong"/>
          <w:rFonts w:cs="Calibri"/>
        </w:rPr>
      </w:pPr>
      <w:r w:rsidRPr="009C1AE7">
        <w:rPr>
          <w:rStyle w:val="Strong"/>
          <w:rFonts w:cs="Calibri"/>
        </w:rPr>
        <w:t>I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am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pleased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to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provide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the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first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report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on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the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operations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of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the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Aged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Care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Pricing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Commissioner.</w:t>
      </w:r>
    </w:p>
    <w:p w14:paraId="451CBD0E" w14:textId="52E1250D" w:rsidR="004F3370" w:rsidRPr="009C1AE7" w:rsidRDefault="004F3370" w:rsidP="001420EF">
      <w:pPr>
        <w:pStyle w:val="BodyText"/>
        <w:rPr>
          <w:rFonts w:cs="Calibri"/>
        </w:rPr>
      </w:pP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statutory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position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created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part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reforms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1997,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which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provides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Section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95B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legislative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basis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appointment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functions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Pricing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These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functions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include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approval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proposed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accommodation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payments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that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higher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maximum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amount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determined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Minister,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approval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Extra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Service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fees,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other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functions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conferred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Minister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under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Commonwealth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law.</w:t>
      </w:r>
      <w:r w:rsidR="001420EF" w:rsidRPr="009C1AE7">
        <w:rPr>
          <w:rFonts w:cs="Calibri"/>
        </w:rPr>
        <w:t xml:space="preserve"> </w:t>
      </w:r>
    </w:p>
    <w:p w14:paraId="7A8D934E" w14:textId="7CA2AAA0" w:rsidR="004F3370" w:rsidRPr="009C1AE7" w:rsidRDefault="004F3370" w:rsidP="001420EF">
      <w:pPr>
        <w:pStyle w:val="BodyText"/>
        <w:rPr>
          <w:rFonts w:cs="Calibri"/>
        </w:rPr>
      </w:pPr>
      <w:r w:rsidRPr="009C1AE7">
        <w:rPr>
          <w:rFonts w:cs="Calibri"/>
        </w:rPr>
        <w:t>Certain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other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statutory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instruments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further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outline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functions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Commissioner: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Fees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Payments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Principles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2014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(No.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2)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Extra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Service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Principles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2014.</w:t>
      </w:r>
    </w:p>
    <w:p w14:paraId="245913A5" w14:textId="296F0831" w:rsidR="004F3370" w:rsidRPr="009C1AE7" w:rsidRDefault="004F3370" w:rsidP="001420EF">
      <w:pPr>
        <w:pStyle w:val="BodyText"/>
        <w:rPr>
          <w:rFonts w:cs="Calibri"/>
        </w:rPr>
      </w:pP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also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Government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representative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Financing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Authority.</w:t>
      </w:r>
      <w:r w:rsidR="001420EF" w:rsidRPr="009C1AE7">
        <w:rPr>
          <w:rFonts w:cs="Calibri"/>
        </w:rPr>
        <w:t xml:space="preserve"> </w:t>
      </w:r>
    </w:p>
    <w:p w14:paraId="0853619C" w14:textId="567B4799" w:rsidR="004F3370" w:rsidRPr="009C1AE7" w:rsidRDefault="004F3370" w:rsidP="001420EF">
      <w:pPr>
        <w:pStyle w:val="BodyText"/>
        <w:rPr>
          <w:rFonts w:cs="Calibri"/>
        </w:rPr>
      </w:pPr>
      <w:r w:rsidRPr="009C1AE7">
        <w:rPr>
          <w:rFonts w:cs="Calibri"/>
        </w:rPr>
        <w:t>Through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exercising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these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functions,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contributes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Government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objectives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increase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level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transparency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pricing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residential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services,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ensure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that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residents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receive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quality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accommodation,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services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where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higher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additional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prices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paid.</w:t>
      </w:r>
    </w:p>
    <w:p w14:paraId="01D447C9" w14:textId="316CA4B5" w:rsidR="004F3370" w:rsidRPr="009C1AE7" w:rsidRDefault="004F3370" w:rsidP="001420EF">
      <w:pPr>
        <w:pStyle w:val="BodyText"/>
        <w:rPr>
          <w:rFonts w:cs="Calibri"/>
        </w:rPr>
      </w:pP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principal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operational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focus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since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assuming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role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October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2013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has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been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creating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process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assessment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methodology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leading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decisions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respect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proposed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accommodation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prices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residential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above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maximum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amount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determined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Minister.</w:t>
      </w:r>
      <w:r w:rsidR="001420EF" w:rsidRPr="009C1AE7">
        <w:rPr>
          <w:rFonts w:cs="Calibri"/>
        </w:rPr>
        <w:t xml:space="preserve"> </w:t>
      </w:r>
    </w:p>
    <w:p w14:paraId="47D2A0A4" w14:textId="665BE35E" w:rsidR="004F3370" w:rsidRPr="009C1AE7" w:rsidRDefault="004F3370" w:rsidP="00345ADE">
      <w:pPr>
        <w:pStyle w:val="BodyText"/>
        <w:rPr>
          <w:rFonts w:cs="Calibri"/>
        </w:rPr>
      </w:pP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January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2014,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Minister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made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(Maximum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Accommodation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Payment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Amount)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Determination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2014,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which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provides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that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maximum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amount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that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provider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charge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recipient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without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approval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from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$550,000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Refundable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Accommodation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Deposit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equivalent.</w:t>
      </w:r>
    </w:p>
    <w:p w14:paraId="76699D60" w14:textId="39932980" w:rsidR="004F3370" w:rsidRPr="009C1AE7" w:rsidRDefault="004F3370" w:rsidP="001420EF">
      <w:pPr>
        <w:pStyle w:val="BodyText"/>
        <w:rPr>
          <w:rFonts w:cs="Calibri"/>
        </w:rPr>
      </w:pPr>
      <w:r w:rsidRPr="009C1AE7">
        <w:rPr>
          <w:rFonts w:cs="Calibri"/>
        </w:rPr>
        <w:t>From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October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2013,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engaged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informal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formal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consultation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with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stakeholders,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with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public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consultation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guide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conducted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December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2013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–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January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2014.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Feedback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from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public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consultation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led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further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refinement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also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other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documents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considerations,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such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assessor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manual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published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website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commitment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proofErr w:type="spellStart"/>
      <w:r w:rsidRPr="009C1AE7">
        <w:rPr>
          <w:rFonts w:cs="Calibri"/>
        </w:rPr>
        <w:t>minimise</w:t>
      </w:r>
      <w:proofErr w:type="spellEnd"/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undue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regulatory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burden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providers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seeking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information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where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explicitly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relevant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assessment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while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leaving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process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sufficiently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open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complex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sector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has</w:t>
      </w:r>
      <w:r w:rsidR="001420EF" w:rsidRPr="009C1AE7">
        <w:rPr>
          <w:rFonts w:cs="Calibri"/>
        </w:rPr>
        <w:t xml:space="preserve"> </w:t>
      </w:r>
      <w:proofErr w:type="spellStart"/>
      <w:r w:rsidRPr="009C1AE7">
        <w:rPr>
          <w:rFonts w:cs="Calibri"/>
        </w:rPr>
        <w:t>characterised</w:t>
      </w:r>
      <w:proofErr w:type="spellEnd"/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approach.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consequence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substantial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changes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were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made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initial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draft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context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reducing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burden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tape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providers.</w:t>
      </w:r>
    </w:p>
    <w:p w14:paraId="4CC76F00" w14:textId="7F7F8670" w:rsidR="004F3370" w:rsidRPr="009C1AE7" w:rsidRDefault="004F3370" w:rsidP="001420EF">
      <w:pPr>
        <w:pStyle w:val="BodyText"/>
        <w:rPr>
          <w:rFonts w:cs="Calibri"/>
        </w:rPr>
      </w:pP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addition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public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targeted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consultations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undertaken,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has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published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following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documents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hyperlink r:id="rId11" w:history="1">
        <w:r w:rsidRPr="008E5921">
          <w:rPr>
            <w:rStyle w:val="Hyperlink"/>
            <w:rFonts w:cs="Calibri"/>
          </w:rPr>
          <w:t>Commissioner’s</w:t>
        </w:r>
        <w:r w:rsidR="001420EF" w:rsidRPr="008E5921">
          <w:rPr>
            <w:rStyle w:val="Hyperlink"/>
            <w:rFonts w:cs="Calibri"/>
          </w:rPr>
          <w:t xml:space="preserve"> </w:t>
        </w:r>
        <w:r w:rsidRPr="008E5921">
          <w:rPr>
            <w:rStyle w:val="Hyperlink"/>
            <w:rFonts w:cs="Calibri"/>
          </w:rPr>
          <w:t>website</w:t>
        </w:r>
      </w:hyperlink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at</w:t>
      </w:r>
      <w:r w:rsidR="001420EF" w:rsidRPr="009C1AE7">
        <w:rPr>
          <w:rFonts w:cs="Calibri"/>
        </w:rPr>
        <w:t xml:space="preserve"> </w:t>
      </w:r>
      <w:r w:rsidRPr="009C1AE7">
        <w:rPr>
          <w:rStyle w:val="Strong"/>
          <w:rFonts w:cs="Calibri"/>
        </w:rPr>
        <w:t>www.acpc.gov.au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enable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proposed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accommodation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payments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lastRenderedPageBreak/>
        <w:t>above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maximum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amount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determined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Minister,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ensure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that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applicants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aware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assessment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process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guiding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considerations:</w:t>
      </w:r>
    </w:p>
    <w:p w14:paraId="19FA280C" w14:textId="71029AA4" w:rsidR="004F3370" w:rsidRPr="009C1AE7" w:rsidRDefault="004F3370" w:rsidP="00345ADE">
      <w:pPr>
        <w:pStyle w:val="ListBullet"/>
        <w:rPr>
          <w:rFonts w:cs="Calibri"/>
        </w:rPr>
      </w:pP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Form;</w:t>
      </w:r>
    </w:p>
    <w:p w14:paraId="2CDF0E0E" w14:textId="172109B0" w:rsidR="004F3370" w:rsidRPr="009C1AE7" w:rsidRDefault="004F3370" w:rsidP="001C2697">
      <w:pPr>
        <w:pStyle w:val="ListBullet"/>
        <w:rPr>
          <w:rFonts w:cs="Calibri"/>
        </w:rPr>
      </w:pP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Guide;</w:t>
      </w:r>
    </w:p>
    <w:p w14:paraId="042B03AF" w14:textId="08345201" w:rsidR="004F3370" w:rsidRPr="009C1AE7" w:rsidRDefault="004F3370" w:rsidP="00345ADE">
      <w:pPr>
        <w:pStyle w:val="ListBullet"/>
        <w:rPr>
          <w:rFonts w:cs="Calibri"/>
        </w:rPr>
      </w:pPr>
      <w:r w:rsidRPr="009C1AE7">
        <w:rPr>
          <w:rFonts w:cs="Calibri"/>
        </w:rPr>
        <w:t>Assessor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Manual.</w:t>
      </w:r>
    </w:p>
    <w:p w14:paraId="013906D4" w14:textId="6B664F1C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also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published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response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issues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raised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during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public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consultation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draft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Guide,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provides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answers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frequently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asked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questions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Commissioner’s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website.</w:t>
      </w:r>
    </w:p>
    <w:p w14:paraId="03C7939D" w14:textId="77777777" w:rsidR="004F3370" w:rsidRPr="009C1AE7" w:rsidRDefault="004F3370" w:rsidP="001420EF">
      <w:pPr>
        <w:pStyle w:val="Heading2"/>
        <w:rPr>
          <w:rFonts w:cs="Calibri"/>
        </w:rPr>
      </w:pPr>
      <w:bookmarkStart w:id="3" w:name="_Toc398463610"/>
      <w:r w:rsidRPr="009C1AE7">
        <w:rPr>
          <w:rFonts w:cs="Calibri"/>
        </w:rPr>
        <w:lastRenderedPageBreak/>
        <w:t>Functions</w:t>
      </w:r>
      <w:bookmarkEnd w:id="3"/>
    </w:p>
    <w:p w14:paraId="1A76A20A" w14:textId="670543C7" w:rsidR="004F3370" w:rsidRPr="009C1AE7" w:rsidRDefault="004F3370" w:rsidP="008720CF">
      <w:pPr>
        <w:pStyle w:val="Heading3"/>
        <w:rPr>
          <w:rFonts w:cs="Calibri"/>
        </w:rPr>
      </w:pPr>
      <w:bookmarkStart w:id="4" w:name="_Toc398463611"/>
      <w:r w:rsidRPr="009C1AE7">
        <w:rPr>
          <w:rFonts w:cs="Calibri"/>
        </w:rPr>
        <w:t>1.</w:t>
      </w:r>
      <w:r w:rsidRPr="009C1AE7">
        <w:rPr>
          <w:rFonts w:cs="Calibri"/>
        </w:rPr>
        <w:tab/>
        <w:t>Applications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accommodation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payments</w:t>
      </w:r>
      <w:bookmarkEnd w:id="4"/>
    </w:p>
    <w:p w14:paraId="54331ADA" w14:textId="4A583BF8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period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since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opening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from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31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January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2014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30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June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2014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inclusive,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446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individual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were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made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approval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prices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above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maximum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amount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determined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Minister.</w:t>
      </w:r>
      <w:r w:rsidR="001420EF" w:rsidRPr="009C1AE7">
        <w:rPr>
          <w:rFonts w:cs="Calibri"/>
        </w:rPr>
        <w:t xml:space="preserve">  </w:t>
      </w:r>
    </w:p>
    <w:p w14:paraId="479A0720" w14:textId="12C857FE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these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446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received,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379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were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approved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during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financial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year.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No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were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refused.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9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were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withdrawn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applicants,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number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reframed.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reflects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approach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taken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seeking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work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with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providers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facilitate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approval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where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possible,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seek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further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information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where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required,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identify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where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not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likely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succeed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currently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framed.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new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regulatory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regime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context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where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regarded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important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both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recipients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industry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understand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regime,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approach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regarded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appropriate.</w:t>
      </w:r>
      <w:r w:rsidR="001420EF" w:rsidRPr="009C1AE7">
        <w:rPr>
          <w:rFonts w:cs="Calibri"/>
        </w:rPr>
        <w:t xml:space="preserve">  </w:t>
      </w:r>
    </w:p>
    <w:p w14:paraId="7B10322F" w14:textId="16BA8736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Information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provided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purposes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proposed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accommodation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prices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residential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above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maximum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amount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determined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Minister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protected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information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under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1997,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not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shared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with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other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person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agency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other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required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1997.</w:t>
      </w:r>
    </w:p>
    <w:p w14:paraId="4D6EF8DE" w14:textId="79E02953" w:rsidR="004F3370" w:rsidRPr="009C1AE7" w:rsidRDefault="004F3370" w:rsidP="00A53882">
      <w:pPr>
        <w:pStyle w:val="Heading3"/>
        <w:rPr>
          <w:rFonts w:cs="Calibri"/>
        </w:rPr>
      </w:pPr>
      <w:bookmarkStart w:id="5" w:name="_Toc398463612"/>
      <w:r w:rsidRPr="009C1AE7">
        <w:rPr>
          <w:rFonts w:cs="Calibri"/>
        </w:rPr>
        <w:t>2.</w:t>
      </w:r>
      <w:r w:rsidRPr="009C1AE7">
        <w:rPr>
          <w:rFonts w:cs="Calibri"/>
        </w:rPr>
        <w:tab/>
        <w:t>Applications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approval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Extra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Service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fees</w:t>
      </w:r>
      <w:bookmarkEnd w:id="5"/>
    </w:p>
    <w:p w14:paraId="354E3A76" w14:textId="049A93E1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Commissioner’s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responsibilities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respect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approval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proposed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Extra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Service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fees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took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effect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from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1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July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2014.</w:t>
      </w:r>
      <w:r w:rsidR="001420EF" w:rsidRPr="009C1AE7">
        <w:rPr>
          <w:rFonts w:cs="Calibri"/>
        </w:rPr>
        <w:t xml:space="preserve">  </w:t>
      </w:r>
      <w:r w:rsidRPr="009C1AE7">
        <w:rPr>
          <w:rFonts w:cs="Calibri"/>
        </w:rPr>
        <w:t>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approval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Extra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Service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fees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(including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increases)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Commissioner’s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website.</w:t>
      </w:r>
    </w:p>
    <w:p w14:paraId="1525843B" w14:textId="77B90DDF" w:rsidR="004F3370" w:rsidRPr="009C1AE7" w:rsidRDefault="004F3370" w:rsidP="00A53882">
      <w:pPr>
        <w:pStyle w:val="Heading3"/>
        <w:rPr>
          <w:rFonts w:cs="Calibri"/>
        </w:rPr>
      </w:pPr>
      <w:bookmarkStart w:id="6" w:name="_Toc398463613"/>
      <w:r w:rsidRPr="009C1AE7">
        <w:rPr>
          <w:rFonts w:cs="Calibri"/>
        </w:rPr>
        <w:t>3.</w:t>
      </w:r>
      <w:r w:rsidRPr="009C1AE7">
        <w:rPr>
          <w:rFonts w:cs="Calibri"/>
        </w:rPr>
        <w:tab/>
        <w:t>Internal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external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review</w:t>
      </w:r>
      <w:bookmarkEnd w:id="6"/>
    </w:p>
    <w:p w14:paraId="5B4E8A39" w14:textId="559FE202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Decisions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made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respect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proposed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accommodation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prices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Extra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Service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fees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reviewable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decisions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under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1997.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year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30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June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2014,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no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affected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person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sought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review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decision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Commissioner.</w:t>
      </w:r>
    </w:p>
    <w:p w14:paraId="6F198EC9" w14:textId="6657676A" w:rsidR="004F3370" w:rsidRPr="009C1AE7" w:rsidRDefault="004F3370" w:rsidP="00A53882">
      <w:pPr>
        <w:pStyle w:val="Heading3"/>
        <w:rPr>
          <w:rFonts w:cs="Calibri"/>
        </w:rPr>
      </w:pPr>
      <w:bookmarkStart w:id="7" w:name="_Toc398463614"/>
      <w:r w:rsidRPr="009C1AE7">
        <w:rPr>
          <w:rFonts w:cs="Calibri"/>
        </w:rPr>
        <w:t>4.</w:t>
      </w:r>
      <w:r w:rsidRPr="009C1AE7">
        <w:rPr>
          <w:rFonts w:cs="Calibri"/>
        </w:rPr>
        <w:tab/>
        <w:t>Freedom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Information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requests</w:t>
      </w:r>
      <w:bookmarkEnd w:id="7"/>
    </w:p>
    <w:p w14:paraId="4287AC4E" w14:textId="14AA6D87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received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Freedom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Information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request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during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2013-14.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request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subsequently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withdrawn.</w:t>
      </w:r>
    </w:p>
    <w:p w14:paraId="69EA0CC4" w14:textId="072462AF" w:rsidR="004F3370" w:rsidRPr="009C1AE7" w:rsidRDefault="004F3370" w:rsidP="001420EF">
      <w:pPr>
        <w:pStyle w:val="Heading2"/>
        <w:rPr>
          <w:rFonts w:cs="Calibri"/>
        </w:rPr>
      </w:pPr>
      <w:bookmarkStart w:id="8" w:name="_Toc398463615"/>
      <w:r w:rsidRPr="009C1AE7">
        <w:rPr>
          <w:rFonts w:cs="Calibri"/>
        </w:rPr>
        <w:lastRenderedPageBreak/>
        <w:t>About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</w:t>
      </w:r>
      <w:r w:rsidR="001420EF" w:rsidRPr="009C1AE7">
        <w:rPr>
          <w:rFonts w:cs="Calibri"/>
        </w:rPr>
        <w:t xml:space="preserve">he Office of </w:t>
      </w:r>
      <w:proofErr w:type="gramStart"/>
      <w:r w:rsidR="001420EF" w:rsidRPr="009C1AE7">
        <w:rPr>
          <w:rFonts w:cs="Calibri"/>
        </w:rPr>
        <w:t>The</w:t>
      </w:r>
      <w:proofErr w:type="gramEnd"/>
      <w:r w:rsidR="001420EF" w:rsidRPr="009C1AE7">
        <w:rPr>
          <w:rFonts w:cs="Calibri"/>
        </w:rPr>
        <w:t xml:space="preserve"> Aged Care </w:t>
      </w:r>
      <w:r w:rsidRPr="009C1AE7">
        <w:rPr>
          <w:rFonts w:cs="Calibri"/>
        </w:rPr>
        <w:t>Pricing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bookmarkEnd w:id="8"/>
    </w:p>
    <w:p w14:paraId="52F8B2A3" w14:textId="57EC7122" w:rsidR="004F3370" w:rsidRPr="009C1AE7" w:rsidRDefault="004F3370" w:rsidP="00A53882">
      <w:pPr>
        <w:pStyle w:val="Heading3"/>
        <w:rPr>
          <w:rFonts w:cs="Calibri"/>
        </w:rPr>
      </w:pPr>
      <w:bookmarkStart w:id="9" w:name="_Toc398463616"/>
      <w:r w:rsidRPr="009C1AE7">
        <w:rPr>
          <w:rFonts w:cs="Calibri"/>
        </w:rPr>
        <w:t>5.</w:t>
      </w:r>
      <w:r w:rsidRPr="009C1AE7">
        <w:rPr>
          <w:rFonts w:cs="Calibri"/>
        </w:rPr>
        <w:tab/>
        <w:t>Corporate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governance</w:t>
      </w:r>
      <w:bookmarkEnd w:id="9"/>
    </w:p>
    <w:p w14:paraId="29EA0596" w14:textId="553329D1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Commissioner’s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spending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public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money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regulated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Financial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Management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Accountability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1997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Financial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Management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Accountability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Regulations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1997.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Spending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must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also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comply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with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Commonwealth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Procurement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Rules.</w:t>
      </w:r>
    </w:p>
    <w:p w14:paraId="11E51453" w14:textId="612C67F5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exercises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expenditure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powers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under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delegation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from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Secretary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Department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Social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Services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pursuant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s53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Financial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Management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Accountability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1997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(subsequently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Public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Governance,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Performance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Accountability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2013).</w:t>
      </w:r>
      <w:r w:rsidR="001420EF" w:rsidRPr="009C1AE7">
        <w:rPr>
          <w:rFonts w:cs="Calibri"/>
        </w:rPr>
        <w:t xml:space="preserve"> </w:t>
      </w:r>
    </w:p>
    <w:p w14:paraId="1C497CE9" w14:textId="5D2C0867" w:rsidR="004F3370" w:rsidRPr="009C1AE7" w:rsidRDefault="004F3370" w:rsidP="00A53882">
      <w:pPr>
        <w:pStyle w:val="Heading3"/>
        <w:rPr>
          <w:rFonts w:cs="Calibri"/>
        </w:rPr>
      </w:pPr>
      <w:bookmarkStart w:id="10" w:name="_Toc398463617"/>
      <w:r w:rsidRPr="009C1AE7">
        <w:rPr>
          <w:rFonts w:cs="Calibri"/>
        </w:rPr>
        <w:t>7.</w:t>
      </w:r>
      <w:r w:rsidRPr="009C1AE7">
        <w:rPr>
          <w:rFonts w:cs="Calibri"/>
        </w:rPr>
        <w:tab/>
        <w:t>Budget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staffing</w:t>
      </w:r>
      <w:bookmarkEnd w:id="10"/>
    </w:p>
    <w:p w14:paraId="4A49B86E" w14:textId="54B140DD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meet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variability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volume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applications,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supported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up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9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staff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during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2013-14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year.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included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assessment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officers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administrative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support.</w:t>
      </w:r>
    </w:p>
    <w:p w14:paraId="0935403C" w14:textId="04B4BC5D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Commissioner’s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budget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allocation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2013/14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$1.1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million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9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month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period,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which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included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staff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salaries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Commissioner’s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remuneration.</w:t>
      </w:r>
    </w:p>
    <w:p w14:paraId="5AEE0354" w14:textId="6872404C" w:rsidR="004F3370" w:rsidRPr="009C1AE7" w:rsidRDefault="004F3370" w:rsidP="00A53882">
      <w:pPr>
        <w:pStyle w:val="Heading3"/>
        <w:rPr>
          <w:rFonts w:cs="Calibri"/>
        </w:rPr>
      </w:pPr>
      <w:bookmarkStart w:id="11" w:name="_Toc398463618"/>
      <w:r w:rsidRPr="009C1AE7">
        <w:rPr>
          <w:rFonts w:cs="Calibri"/>
        </w:rPr>
        <w:t>6.</w:t>
      </w:r>
      <w:r w:rsidRPr="009C1AE7">
        <w:rPr>
          <w:rFonts w:cs="Calibri"/>
        </w:rPr>
        <w:tab/>
        <w:t>Performance</w:t>
      </w:r>
      <w:bookmarkEnd w:id="11"/>
    </w:p>
    <w:p w14:paraId="78029CEE" w14:textId="67F0DABE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principal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means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which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performance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measured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relate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statutory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timeframes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making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decisions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accommodation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payments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above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maximum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amount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determined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Minister.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Fees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Payments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Principles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2014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(No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2)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provide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that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Aged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Care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Pricing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must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notify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applicants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decision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approve,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refuse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approve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within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60</w:t>
      </w:r>
      <w:r w:rsidR="008720CF" w:rsidRPr="009C1AE7">
        <w:rPr>
          <w:rFonts w:cs="Calibri"/>
        </w:rPr>
        <w:t> </w:t>
      </w:r>
      <w:r w:rsidRPr="009C1AE7">
        <w:rPr>
          <w:rFonts w:cs="Calibri"/>
        </w:rPr>
        <w:t>days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receiving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time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period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does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not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include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period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during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which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formally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sought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further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information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respect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All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decisions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made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were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within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60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day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period.</w:t>
      </w:r>
      <w:r w:rsidR="001420EF" w:rsidRPr="009C1AE7">
        <w:rPr>
          <w:rFonts w:cs="Calibri"/>
        </w:rPr>
        <w:t xml:space="preserve"> </w:t>
      </w:r>
    </w:p>
    <w:p w14:paraId="174B5A7D" w14:textId="33FC0A4D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average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time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taken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assess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make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decision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proposed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accommodation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prices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30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days.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time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period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includes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time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taken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seek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information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from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applicants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without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recourse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formal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request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further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information.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approach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taken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assessments,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with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small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number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exceptions,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has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been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seek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information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required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complete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assessment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outside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parameters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formal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request.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increases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apparent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time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taken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process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application.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Where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time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discounted,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average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time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taken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make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decision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application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was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25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days.</w:t>
      </w:r>
    </w:p>
    <w:p w14:paraId="40DB22FC" w14:textId="7A576337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Commissioner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will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also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assess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performance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through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feedback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from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Reference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Group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stakeholders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to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established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in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second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half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of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2014.</w:t>
      </w:r>
    </w:p>
    <w:p w14:paraId="31D9F284" w14:textId="77777777" w:rsidR="004F3370" w:rsidRPr="009C1AE7" w:rsidRDefault="004F3370" w:rsidP="001420EF">
      <w:pPr>
        <w:pStyle w:val="Heading2"/>
        <w:rPr>
          <w:rFonts w:ascii="Calibri" w:hAnsi="Calibri" w:cs="Calibri"/>
          <w:sz w:val="18"/>
          <w:szCs w:val="18"/>
        </w:rPr>
      </w:pPr>
      <w:bookmarkStart w:id="12" w:name="_Toc398463619"/>
      <w:r w:rsidRPr="009C1AE7">
        <w:rPr>
          <w:rFonts w:cs="Calibri"/>
        </w:rPr>
        <w:lastRenderedPageBreak/>
        <w:t>Contacts</w:t>
      </w:r>
      <w:bookmarkEnd w:id="12"/>
    </w:p>
    <w:p w14:paraId="11398B0C" w14:textId="340A032A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Fonts w:cs="Calibri"/>
        </w:rPr>
        <w:t>The</w:t>
      </w:r>
      <w:r w:rsidR="001420EF" w:rsidRPr="009C1AE7">
        <w:rPr>
          <w:rFonts w:cs="Calibri"/>
        </w:rPr>
        <w:t xml:space="preserve"> </w:t>
      </w:r>
      <w:r w:rsidRPr="009C1AE7">
        <w:rPr>
          <w:rStyle w:val="Strong"/>
          <w:rFonts w:cs="Calibri"/>
        </w:rPr>
        <w:t>Office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of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the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Aged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Care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Pricing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Commissioner</w:t>
      </w:r>
      <w:r w:rsidR="001420EF" w:rsidRPr="009C1AE7">
        <w:rPr>
          <w:rFonts w:cs="Calibri"/>
          <w:b/>
          <w:bCs/>
        </w:rPr>
        <w:t xml:space="preserve"> </w:t>
      </w:r>
      <w:r w:rsidRPr="009C1AE7">
        <w:rPr>
          <w:rFonts w:cs="Calibri"/>
        </w:rPr>
        <w:t>can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be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contacted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phone</w:t>
      </w:r>
      <w:r w:rsidR="001420EF" w:rsidRPr="009C1AE7">
        <w:rPr>
          <w:rFonts w:cs="Calibri"/>
        </w:rPr>
        <w:t xml:space="preserve"> </w:t>
      </w:r>
      <w:r w:rsidRPr="009C1AE7">
        <w:rPr>
          <w:rStyle w:val="Strong"/>
          <w:rFonts w:cs="Calibri"/>
        </w:rPr>
        <w:t>1300</w:t>
      </w:r>
      <w:r w:rsidR="008720CF" w:rsidRPr="009C1AE7">
        <w:rPr>
          <w:rStyle w:val="Strong"/>
          <w:rFonts w:cs="Calibri"/>
        </w:rPr>
        <w:t> </w:t>
      </w:r>
      <w:r w:rsidRPr="009C1AE7">
        <w:rPr>
          <w:rStyle w:val="Strong"/>
          <w:rFonts w:cs="Calibri"/>
        </w:rPr>
        <w:t>550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970</w:t>
      </w:r>
      <w:r w:rsidRPr="009C1AE7">
        <w:rPr>
          <w:rFonts w:cs="Calibri"/>
        </w:rPr>
        <w:t>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email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on</w:t>
      </w:r>
      <w:r w:rsidR="001420EF" w:rsidRPr="009C1AE7">
        <w:rPr>
          <w:rFonts w:cs="Calibri"/>
        </w:rPr>
        <w:t xml:space="preserve"> </w:t>
      </w:r>
      <w:hyperlink r:id="rId12" w:history="1">
        <w:r w:rsidRPr="00541857">
          <w:rPr>
            <w:rStyle w:val="Hyperlink"/>
          </w:rPr>
          <w:t>acpcenquiries@acpc.gov.au</w:t>
        </w:r>
      </w:hyperlink>
      <w:r w:rsidRPr="009C1AE7">
        <w:rPr>
          <w:rFonts w:cs="Calibri"/>
        </w:rPr>
        <w:t>,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or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by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post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at:</w:t>
      </w:r>
      <w:r w:rsidR="001420EF" w:rsidRPr="009C1AE7">
        <w:rPr>
          <w:rFonts w:cs="Calibri"/>
        </w:rPr>
        <w:t xml:space="preserve"> </w:t>
      </w:r>
    </w:p>
    <w:p w14:paraId="6797FDB6" w14:textId="6822D18A" w:rsidR="004F3370" w:rsidRPr="009C1AE7" w:rsidRDefault="004F3370" w:rsidP="00E75708">
      <w:pPr>
        <w:pStyle w:val="BodyText"/>
        <w:rPr>
          <w:rFonts w:cs="Calibri"/>
        </w:rPr>
      </w:pPr>
      <w:r w:rsidRPr="009C1AE7">
        <w:rPr>
          <w:rStyle w:val="Strong"/>
          <w:rFonts w:cs="Calibri"/>
        </w:rPr>
        <w:t>Office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of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the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Aged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Care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Pricing</w:t>
      </w:r>
      <w:r w:rsidR="001420EF" w:rsidRPr="009C1AE7">
        <w:rPr>
          <w:rStyle w:val="Strong"/>
          <w:rFonts w:cs="Calibri"/>
        </w:rPr>
        <w:t xml:space="preserve"> </w:t>
      </w:r>
      <w:r w:rsidRPr="009C1AE7">
        <w:rPr>
          <w:rStyle w:val="Strong"/>
          <w:rFonts w:cs="Calibri"/>
        </w:rPr>
        <w:t>Commissioner</w:t>
      </w:r>
      <w:r w:rsidRPr="009C1AE7">
        <w:rPr>
          <w:rFonts w:cs="Calibri"/>
          <w:b/>
          <w:bCs/>
        </w:rPr>
        <w:br/>
      </w:r>
      <w:r w:rsidRPr="009C1AE7">
        <w:rPr>
          <w:rFonts w:cs="Calibri"/>
        </w:rPr>
        <w:t>Locked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Bag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5</w:t>
      </w:r>
      <w:r w:rsidRPr="009C1AE7">
        <w:rPr>
          <w:rFonts w:cs="Calibri"/>
        </w:rPr>
        <w:br/>
        <w:t>Haymarket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NSW</w:t>
      </w:r>
      <w:r w:rsidR="001420EF" w:rsidRPr="009C1AE7">
        <w:rPr>
          <w:rFonts w:cs="Calibri"/>
        </w:rPr>
        <w:t xml:space="preserve"> </w:t>
      </w:r>
      <w:r w:rsidRPr="009C1AE7">
        <w:rPr>
          <w:rFonts w:cs="Calibri"/>
        </w:rPr>
        <w:t>1240</w:t>
      </w:r>
    </w:p>
    <w:p w14:paraId="4CED0B5A" w14:textId="3F8E3D38" w:rsidR="001759D2" w:rsidRPr="009C1AE7" w:rsidRDefault="004F3370" w:rsidP="00D76623">
      <w:pPr>
        <w:pStyle w:val="BodyText"/>
      </w:pPr>
      <w:r w:rsidRPr="009C1AE7">
        <w:t>Further</w:t>
      </w:r>
      <w:r w:rsidR="001420EF" w:rsidRPr="009C1AE7">
        <w:t xml:space="preserve"> </w:t>
      </w:r>
      <w:r w:rsidRPr="009C1AE7">
        <w:t>information</w:t>
      </w:r>
      <w:r w:rsidR="001420EF" w:rsidRPr="009C1AE7">
        <w:t xml:space="preserve"> </w:t>
      </w:r>
      <w:r w:rsidRPr="009C1AE7">
        <w:t>about</w:t>
      </w:r>
      <w:r w:rsidR="001420EF" w:rsidRPr="009C1AE7">
        <w:t xml:space="preserve"> </w:t>
      </w:r>
      <w:r w:rsidRPr="009C1AE7">
        <w:t>the</w:t>
      </w:r>
      <w:r w:rsidR="001420EF" w:rsidRPr="009C1AE7">
        <w:t xml:space="preserve"> </w:t>
      </w:r>
      <w:r w:rsidRPr="009C1AE7">
        <w:t>Aged</w:t>
      </w:r>
      <w:r w:rsidR="001420EF" w:rsidRPr="009C1AE7">
        <w:t xml:space="preserve"> </w:t>
      </w:r>
      <w:r w:rsidRPr="009C1AE7">
        <w:t>Care</w:t>
      </w:r>
      <w:r w:rsidR="001420EF" w:rsidRPr="009C1AE7">
        <w:t xml:space="preserve"> </w:t>
      </w:r>
      <w:r w:rsidRPr="009C1AE7">
        <w:t>Pricing</w:t>
      </w:r>
      <w:r w:rsidR="001420EF" w:rsidRPr="009C1AE7">
        <w:t xml:space="preserve"> </w:t>
      </w:r>
      <w:r w:rsidRPr="009C1AE7">
        <w:t>Commissioner</w:t>
      </w:r>
      <w:r w:rsidR="001420EF" w:rsidRPr="009C1AE7">
        <w:t xml:space="preserve"> </w:t>
      </w:r>
      <w:r w:rsidRPr="009C1AE7">
        <w:t>can</w:t>
      </w:r>
      <w:r w:rsidR="001420EF" w:rsidRPr="009C1AE7">
        <w:t xml:space="preserve"> </w:t>
      </w:r>
      <w:r w:rsidRPr="009C1AE7">
        <w:t>be</w:t>
      </w:r>
      <w:r w:rsidR="001420EF" w:rsidRPr="009C1AE7">
        <w:t xml:space="preserve"> </w:t>
      </w:r>
      <w:r w:rsidRPr="009C1AE7">
        <w:t>found</w:t>
      </w:r>
      <w:r w:rsidR="001420EF" w:rsidRPr="009C1AE7">
        <w:t xml:space="preserve"> </w:t>
      </w:r>
      <w:r w:rsidRPr="009C1AE7">
        <w:t>on</w:t>
      </w:r>
      <w:r w:rsidR="001420EF" w:rsidRPr="009C1AE7">
        <w:t xml:space="preserve"> </w:t>
      </w:r>
      <w:r w:rsidRPr="009C1AE7">
        <w:t>the</w:t>
      </w:r>
      <w:r w:rsidR="001420EF" w:rsidRPr="009C1AE7">
        <w:t xml:space="preserve"> </w:t>
      </w:r>
      <w:r w:rsidRPr="009C1AE7">
        <w:t>Commissioner’s</w:t>
      </w:r>
      <w:r w:rsidR="001420EF" w:rsidRPr="009C1AE7">
        <w:t xml:space="preserve"> </w:t>
      </w:r>
      <w:r w:rsidRPr="009C1AE7">
        <w:t>website</w:t>
      </w:r>
      <w:r w:rsidR="001420EF" w:rsidRPr="009C1AE7">
        <w:t xml:space="preserve"> </w:t>
      </w:r>
      <w:r w:rsidRPr="009C1AE7">
        <w:t>at</w:t>
      </w:r>
      <w:r w:rsidR="001420EF" w:rsidRPr="009C1AE7">
        <w:t xml:space="preserve"> </w:t>
      </w:r>
      <w:hyperlink r:id="rId13" w:history="1">
        <w:r w:rsidRPr="00541857">
          <w:rPr>
            <w:rStyle w:val="Hyperlink"/>
          </w:rPr>
          <w:t>www.acpc.gov.au</w:t>
        </w:r>
      </w:hyperlink>
    </w:p>
    <w:sectPr w:rsidR="001759D2" w:rsidRPr="009C1AE7" w:rsidSect="00F2672B">
      <w:footerReference w:type="default" r:id="rId14"/>
      <w:pgSz w:w="11900" w:h="16840"/>
      <w:pgMar w:top="1418" w:right="1701" w:bottom="1418" w:left="1701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E889E" w14:textId="77777777" w:rsidR="008E5921" w:rsidRDefault="008E5921" w:rsidP="00E33989">
      <w:r>
        <w:separator/>
      </w:r>
    </w:p>
  </w:endnote>
  <w:endnote w:type="continuationSeparator" w:id="0">
    <w:p w14:paraId="236BCD5A" w14:textId="77777777" w:rsidR="008E5921" w:rsidRDefault="008E5921" w:rsidP="00E33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">
    <w:altName w:val="Adobe Garamond Pro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700C2" w14:textId="4718F827" w:rsidR="008E5921" w:rsidRPr="005F06A1" w:rsidRDefault="008E5921" w:rsidP="005F06A1">
    <w:pPr>
      <w:pStyle w:val="Footer"/>
      <w:tabs>
        <w:tab w:val="clear" w:pos="4320"/>
        <w:tab w:val="clear" w:pos="8640"/>
        <w:tab w:val="right" w:pos="8505"/>
      </w:tabs>
      <w:rPr>
        <w:bCs/>
      </w:rPr>
    </w:pPr>
    <w:r w:rsidRPr="00F2672B">
      <w:rPr>
        <w:bCs/>
      </w:rPr>
      <w:t>Aged Care Pricing Commissioner</w:t>
    </w:r>
    <w:r>
      <w:rPr>
        <w:bCs/>
      </w:rPr>
      <w:t xml:space="preserve">: </w:t>
    </w:r>
    <w:r w:rsidRPr="005F06A1">
      <w:rPr>
        <w:bCs/>
      </w:rPr>
      <w:t>Annual Report</w:t>
    </w:r>
    <w:r>
      <w:rPr>
        <w:bCs/>
      </w:rPr>
      <w:t xml:space="preserve"> </w:t>
    </w:r>
    <w:r w:rsidRPr="00F2672B">
      <w:rPr>
        <w:bCs/>
      </w:rPr>
      <w:t>2013</w:t>
    </w:r>
    <w:r>
      <w:rPr>
        <w:bCs/>
      </w:rPr>
      <w:t>–2014</w:t>
    </w:r>
    <w:r>
      <w:rPr>
        <w:bCs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217EE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F1C1A" w14:textId="77777777" w:rsidR="008E5921" w:rsidRDefault="008E5921" w:rsidP="00E33989">
      <w:r>
        <w:separator/>
      </w:r>
    </w:p>
  </w:footnote>
  <w:footnote w:type="continuationSeparator" w:id="0">
    <w:p w14:paraId="432A27B6" w14:textId="77777777" w:rsidR="008E5921" w:rsidRDefault="008E5921" w:rsidP="00E33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D5010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embedSystemFonts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uddX5Oo+bZm7+aLqRP0qZP/Jd+8=" w:salt="hIYQ/79M6jyDvRAU9Asftg==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0AC"/>
    <w:rsid w:val="000A78ED"/>
    <w:rsid w:val="001420EF"/>
    <w:rsid w:val="001759D2"/>
    <w:rsid w:val="001C2697"/>
    <w:rsid w:val="002411BD"/>
    <w:rsid w:val="00272ECC"/>
    <w:rsid w:val="003173B6"/>
    <w:rsid w:val="00345ADE"/>
    <w:rsid w:val="003804EC"/>
    <w:rsid w:val="00492652"/>
    <w:rsid w:val="004A5DDC"/>
    <w:rsid w:val="004F1C48"/>
    <w:rsid w:val="004F3370"/>
    <w:rsid w:val="00513A8E"/>
    <w:rsid w:val="00541857"/>
    <w:rsid w:val="005F06A1"/>
    <w:rsid w:val="00683BC0"/>
    <w:rsid w:val="006A4BAE"/>
    <w:rsid w:val="007D09B1"/>
    <w:rsid w:val="007E7CA6"/>
    <w:rsid w:val="007F06A1"/>
    <w:rsid w:val="00802020"/>
    <w:rsid w:val="00822A4C"/>
    <w:rsid w:val="008720CF"/>
    <w:rsid w:val="008A0676"/>
    <w:rsid w:val="008E5921"/>
    <w:rsid w:val="009A2278"/>
    <w:rsid w:val="009C049A"/>
    <w:rsid w:val="009C1AE7"/>
    <w:rsid w:val="00A53882"/>
    <w:rsid w:val="00C12E6D"/>
    <w:rsid w:val="00C44B43"/>
    <w:rsid w:val="00CD492A"/>
    <w:rsid w:val="00D76623"/>
    <w:rsid w:val="00DF5CD4"/>
    <w:rsid w:val="00E217EE"/>
    <w:rsid w:val="00E268B9"/>
    <w:rsid w:val="00E33989"/>
    <w:rsid w:val="00E75708"/>
    <w:rsid w:val="00EA71C8"/>
    <w:rsid w:val="00ED4318"/>
    <w:rsid w:val="00F03D46"/>
    <w:rsid w:val="00F120AC"/>
    <w:rsid w:val="00F2672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1AE1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1AE7"/>
    <w:pPr>
      <w:keepNext/>
      <w:keepLines/>
      <w:spacing w:before="480" w:line="360" w:lineRule="auto"/>
      <w:outlineLvl w:val="0"/>
    </w:pPr>
    <w:rPr>
      <w:rFonts w:asciiTheme="majorHAnsi" w:eastAsia="cali" w:hAnsiTheme="majorHAnsi" w:cstheme="majorBidi"/>
      <w:bCs/>
      <w:color w:val="587788" w:themeColor="accent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1AE7"/>
    <w:pPr>
      <w:keepNext/>
      <w:keepLines/>
      <w:pageBreakBefore/>
      <w:spacing w:after="600"/>
      <w:outlineLvl w:val="1"/>
    </w:pPr>
    <w:rPr>
      <w:rFonts w:asciiTheme="majorHAnsi" w:eastAsia="cali" w:hAnsiTheme="majorHAnsi" w:cstheme="majorBidi"/>
      <w:b/>
      <w:bCs/>
      <w:iCs/>
      <w:color w:val="587788" w:themeColor="accent1"/>
      <w:sz w:val="48"/>
      <w:szCs w:val="48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1AE7"/>
    <w:pPr>
      <w:keepNext/>
      <w:keepLines/>
      <w:spacing w:before="300" w:after="120"/>
      <w:ind w:left="397" w:hanging="397"/>
      <w:outlineLvl w:val="2"/>
    </w:pPr>
    <w:rPr>
      <w:rFonts w:asciiTheme="majorHAnsi" w:eastAsia="cali" w:hAnsiTheme="majorHAnsi" w:cstheme="majorBidi"/>
      <w:b/>
      <w:bCs/>
      <w:color w:val="587788" w:themeColor="accent1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C1AE7"/>
    <w:rPr>
      <w:rFonts w:asciiTheme="majorHAnsi" w:eastAsia="cali" w:hAnsiTheme="majorHAnsi" w:cstheme="majorBidi"/>
      <w:b/>
      <w:bCs/>
      <w:iCs/>
      <w:color w:val="587788" w:themeColor="accent1"/>
      <w:sz w:val="48"/>
      <w:szCs w:val="48"/>
      <w:lang w:val="en-AU"/>
    </w:rPr>
  </w:style>
  <w:style w:type="character" w:styleId="Emphasis">
    <w:name w:val="Emphasis"/>
    <w:basedOn w:val="DefaultParagraphFont"/>
    <w:uiPriority w:val="20"/>
    <w:qFormat/>
    <w:rsid w:val="007F06A1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C1AE7"/>
    <w:rPr>
      <w:rFonts w:asciiTheme="majorHAnsi" w:eastAsia="cali" w:hAnsiTheme="majorHAnsi" w:cstheme="majorBidi"/>
      <w:bCs/>
      <w:color w:val="587788" w:themeColor="accent1"/>
      <w:sz w:val="48"/>
      <w:szCs w:val="48"/>
    </w:rPr>
  </w:style>
  <w:style w:type="paragraph" w:styleId="BodyText">
    <w:name w:val="Body Text"/>
    <w:basedOn w:val="Normal"/>
    <w:link w:val="BodyTextChar"/>
    <w:uiPriority w:val="99"/>
    <w:unhideWhenUsed/>
    <w:rsid w:val="00345ADE"/>
    <w:pPr>
      <w:spacing w:after="160"/>
    </w:pPr>
  </w:style>
  <w:style w:type="character" w:customStyle="1" w:styleId="BodyTextChar">
    <w:name w:val="Body Text Char"/>
    <w:basedOn w:val="DefaultParagraphFont"/>
    <w:link w:val="BodyText"/>
    <w:uiPriority w:val="99"/>
    <w:rsid w:val="00345ADE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C1AE7"/>
    <w:rPr>
      <w:rFonts w:asciiTheme="majorHAnsi" w:eastAsia="cali" w:hAnsiTheme="majorHAnsi" w:cstheme="majorBidi"/>
      <w:b/>
      <w:bCs/>
      <w:color w:val="587788" w:themeColor="accent1"/>
      <w:sz w:val="30"/>
      <w:szCs w:val="30"/>
    </w:rPr>
  </w:style>
  <w:style w:type="paragraph" w:styleId="ListBullet">
    <w:name w:val="List Bullet"/>
    <w:basedOn w:val="Normal"/>
    <w:uiPriority w:val="99"/>
    <w:unhideWhenUsed/>
    <w:rsid w:val="00345ADE"/>
    <w:pPr>
      <w:numPr>
        <w:numId w:val="1"/>
      </w:numPr>
      <w:spacing w:after="160"/>
      <w:ind w:left="357" w:hanging="357"/>
      <w:contextualSpacing/>
    </w:pPr>
  </w:style>
  <w:style w:type="character" w:styleId="Strong">
    <w:name w:val="Strong"/>
    <w:basedOn w:val="DefaultParagraphFont"/>
    <w:uiPriority w:val="22"/>
    <w:qFormat/>
    <w:rsid w:val="001420EF"/>
    <w:rPr>
      <w:b/>
      <w:bCs/>
    </w:rPr>
  </w:style>
  <w:style w:type="paragraph" w:customStyle="1" w:styleId="Heading2TOCpage">
    <w:name w:val="Heading 2 TOC page"/>
    <w:link w:val="Heading2TOCpageChar"/>
    <w:qFormat/>
    <w:rsid w:val="009C1AE7"/>
    <w:pPr>
      <w:keepNext/>
      <w:keepLines/>
      <w:pageBreakBefore/>
      <w:spacing w:after="600"/>
    </w:pPr>
    <w:rPr>
      <w:rFonts w:asciiTheme="majorHAnsi" w:hAnsiTheme="majorHAnsi"/>
      <w:b/>
      <w:color w:val="587788" w:themeColor="accent1"/>
      <w:sz w:val="48"/>
      <w:szCs w:val="48"/>
    </w:rPr>
  </w:style>
  <w:style w:type="character" w:customStyle="1" w:styleId="Heading2TOCpageChar">
    <w:name w:val="Heading 2 TOC page Char"/>
    <w:basedOn w:val="DefaultParagraphFont"/>
    <w:link w:val="Heading2TOCpage"/>
    <w:rsid w:val="009C1AE7"/>
    <w:rPr>
      <w:rFonts w:asciiTheme="majorHAnsi" w:hAnsiTheme="majorHAnsi"/>
      <w:b/>
      <w:color w:val="587788" w:themeColor="accent1"/>
      <w:sz w:val="48"/>
      <w:szCs w:val="48"/>
    </w:rPr>
  </w:style>
  <w:style w:type="paragraph" w:styleId="TOC1">
    <w:name w:val="toc 1"/>
    <w:basedOn w:val="Normal"/>
    <w:next w:val="Normal"/>
    <w:uiPriority w:val="39"/>
    <w:unhideWhenUsed/>
    <w:rsid w:val="00513A8E"/>
    <w:pPr>
      <w:tabs>
        <w:tab w:val="right" w:pos="8505"/>
      </w:tabs>
      <w:spacing w:before="240" w:after="100"/>
    </w:pPr>
    <w:rPr>
      <w:rFonts w:cs="Calibri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513A8E"/>
    <w:pPr>
      <w:tabs>
        <w:tab w:val="right" w:pos="8505"/>
      </w:tabs>
      <w:spacing w:after="100"/>
      <w:ind w:left="284" w:hanging="284"/>
    </w:pPr>
  </w:style>
  <w:style w:type="character" w:styleId="Hyperlink">
    <w:name w:val="Hyperlink"/>
    <w:basedOn w:val="DefaultParagraphFont"/>
    <w:uiPriority w:val="99"/>
    <w:unhideWhenUsed/>
    <w:rsid w:val="00CD492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339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98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39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989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F06A1"/>
  </w:style>
  <w:style w:type="paragraph" w:styleId="BalloonText">
    <w:name w:val="Balloon Text"/>
    <w:basedOn w:val="Normal"/>
    <w:link w:val="BalloonTextChar"/>
    <w:uiPriority w:val="99"/>
    <w:semiHidden/>
    <w:unhideWhenUsed/>
    <w:rsid w:val="007E7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1AE7"/>
    <w:pPr>
      <w:keepNext/>
      <w:keepLines/>
      <w:spacing w:before="480" w:line="360" w:lineRule="auto"/>
      <w:outlineLvl w:val="0"/>
    </w:pPr>
    <w:rPr>
      <w:rFonts w:asciiTheme="majorHAnsi" w:eastAsia="cali" w:hAnsiTheme="majorHAnsi" w:cstheme="majorBidi"/>
      <w:bCs/>
      <w:color w:val="587788" w:themeColor="accent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1AE7"/>
    <w:pPr>
      <w:keepNext/>
      <w:keepLines/>
      <w:pageBreakBefore/>
      <w:spacing w:after="600"/>
      <w:outlineLvl w:val="1"/>
    </w:pPr>
    <w:rPr>
      <w:rFonts w:asciiTheme="majorHAnsi" w:eastAsia="cali" w:hAnsiTheme="majorHAnsi" w:cstheme="majorBidi"/>
      <w:b/>
      <w:bCs/>
      <w:iCs/>
      <w:color w:val="587788" w:themeColor="accent1"/>
      <w:sz w:val="48"/>
      <w:szCs w:val="48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1AE7"/>
    <w:pPr>
      <w:keepNext/>
      <w:keepLines/>
      <w:spacing w:before="300" w:after="120"/>
      <w:ind w:left="397" w:hanging="397"/>
      <w:outlineLvl w:val="2"/>
    </w:pPr>
    <w:rPr>
      <w:rFonts w:asciiTheme="majorHAnsi" w:eastAsia="cali" w:hAnsiTheme="majorHAnsi" w:cstheme="majorBidi"/>
      <w:b/>
      <w:bCs/>
      <w:color w:val="587788" w:themeColor="accent1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C1AE7"/>
    <w:rPr>
      <w:rFonts w:asciiTheme="majorHAnsi" w:eastAsia="cali" w:hAnsiTheme="majorHAnsi" w:cstheme="majorBidi"/>
      <w:b/>
      <w:bCs/>
      <w:iCs/>
      <w:color w:val="587788" w:themeColor="accent1"/>
      <w:sz w:val="48"/>
      <w:szCs w:val="48"/>
      <w:lang w:val="en-AU"/>
    </w:rPr>
  </w:style>
  <w:style w:type="character" w:styleId="Emphasis">
    <w:name w:val="Emphasis"/>
    <w:basedOn w:val="DefaultParagraphFont"/>
    <w:uiPriority w:val="20"/>
    <w:qFormat/>
    <w:rsid w:val="007F06A1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C1AE7"/>
    <w:rPr>
      <w:rFonts w:asciiTheme="majorHAnsi" w:eastAsia="cali" w:hAnsiTheme="majorHAnsi" w:cstheme="majorBidi"/>
      <w:bCs/>
      <w:color w:val="587788" w:themeColor="accent1"/>
      <w:sz w:val="48"/>
      <w:szCs w:val="48"/>
    </w:rPr>
  </w:style>
  <w:style w:type="paragraph" w:styleId="BodyText">
    <w:name w:val="Body Text"/>
    <w:basedOn w:val="Normal"/>
    <w:link w:val="BodyTextChar"/>
    <w:uiPriority w:val="99"/>
    <w:unhideWhenUsed/>
    <w:rsid w:val="00345ADE"/>
    <w:pPr>
      <w:spacing w:after="160"/>
    </w:pPr>
  </w:style>
  <w:style w:type="character" w:customStyle="1" w:styleId="BodyTextChar">
    <w:name w:val="Body Text Char"/>
    <w:basedOn w:val="DefaultParagraphFont"/>
    <w:link w:val="BodyText"/>
    <w:uiPriority w:val="99"/>
    <w:rsid w:val="00345ADE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C1AE7"/>
    <w:rPr>
      <w:rFonts w:asciiTheme="majorHAnsi" w:eastAsia="cali" w:hAnsiTheme="majorHAnsi" w:cstheme="majorBidi"/>
      <w:b/>
      <w:bCs/>
      <w:color w:val="587788" w:themeColor="accent1"/>
      <w:sz w:val="30"/>
      <w:szCs w:val="30"/>
    </w:rPr>
  </w:style>
  <w:style w:type="paragraph" w:styleId="ListBullet">
    <w:name w:val="List Bullet"/>
    <w:basedOn w:val="Normal"/>
    <w:uiPriority w:val="99"/>
    <w:unhideWhenUsed/>
    <w:rsid w:val="00345ADE"/>
    <w:pPr>
      <w:numPr>
        <w:numId w:val="1"/>
      </w:numPr>
      <w:spacing w:after="160"/>
      <w:ind w:left="357" w:hanging="357"/>
      <w:contextualSpacing/>
    </w:pPr>
  </w:style>
  <w:style w:type="character" w:styleId="Strong">
    <w:name w:val="Strong"/>
    <w:basedOn w:val="DefaultParagraphFont"/>
    <w:uiPriority w:val="22"/>
    <w:qFormat/>
    <w:rsid w:val="001420EF"/>
    <w:rPr>
      <w:b/>
      <w:bCs/>
    </w:rPr>
  </w:style>
  <w:style w:type="paragraph" w:customStyle="1" w:styleId="Heading2TOCpage">
    <w:name w:val="Heading 2 TOC page"/>
    <w:link w:val="Heading2TOCpageChar"/>
    <w:qFormat/>
    <w:rsid w:val="009C1AE7"/>
    <w:pPr>
      <w:keepNext/>
      <w:keepLines/>
      <w:pageBreakBefore/>
      <w:spacing w:after="600"/>
    </w:pPr>
    <w:rPr>
      <w:rFonts w:asciiTheme="majorHAnsi" w:hAnsiTheme="majorHAnsi"/>
      <w:b/>
      <w:color w:val="587788" w:themeColor="accent1"/>
      <w:sz w:val="48"/>
      <w:szCs w:val="48"/>
    </w:rPr>
  </w:style>
  <w:style w:type="character" w:customStyle="1" w:styleId="Heading2TOCpageChar">
    <w:name w:val="Heading 2 TOC page Char"/>
    <w:basedOn w:val="DefaultParagraphFont"/>
    <w:link w:val="Heading2TOCpage"/>
    <w:rsid w:val="009C1AE7"/>
    <w:rPr>
      <w:rFonts w:asciiTheme="majorHAnsi" w:hAnsiTheme="majorHAnsi"/>
      <w:b/>
      <w:color w:val="587788" w:themeColor="accent1"/>
      <w:sz w:val="48"/>
      <w:szCs w:val="48"/>
    </w:rPr>
  </w:style>
  <w:style w:type="paragraph" w:styleId="TOC1">
    <w:name w:val="toc 1"/>
    <w:basedOn w:val="Normal"/>
    <w:next w:val="Normal"/>
    <w:uiPriority w:val="39"/>
    <w:unhideWhenUsed/>
    <w:rsid w:val="00513A8E"/>
    <w:pPr>
      <w:tabs>
        <w:tab w:val="right" w:pos="8505"/>
      </w:tabs>
      <w:spacing w:before="240" w:after="100"/>
    </w:pPr>
    <w:rPr>
      <w:rFonts w:cs="Calibri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513A8E"/>
    <w:pPr>
      <w:tabs>
        <w:tab w:val="right" w:pos="8505"/>
      </w:tabs>
      <w:spacing w:after="100"/>
      <w:ind w:left="284" w:hanging="284"/>
    </w:pPr>
  </w:style>
  <w:style w:type="character" w:styleId="Hyperlink">
    <w:name w:val="Hyperlink"/>
    <w:basedOn w:val="DefaultParagraphFont"/>
    <w:uiPriority w:val="99"/>
    <w:unhideWhenUsed/>
    <w:rsid w:val="00CD492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339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98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39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989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F06A1"/>
  </w:style>
  <w:style w:type="paragraph" w:styleId="BalloonText">
    <w:name w:val="Balloon Text"/>
    <w:basedOn w:val="Normal"/>
    <w:link w:val="BalloonTextChar"/>
    <w:uiPriority w:val="99"/>
    <w:semiHidden/>
    <w:unhideWhenUsed/>
    <w:rsid w:val="007E7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cpc.gov.a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pcenquiries%40acpc.gov.au?subject=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cpc.gov.a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ACPC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587788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799C2-8E00-4101-AAB3-E3D2680A0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1473</Words>
  <Characters>8402</Characters>
  <Application>Microsoft Office Word</Application>
  <DocSecurity>8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Aged Care Pricing Commissioner Annual Report 1 JULY 2013 – 30 JUNE 2014 </vt:lpstr>
    </vt:vector>
  </TitlesOfParts>
  <Company>FaHCSIA</Company>
  <LinksUpToDate>false</LinksUpToDate>
  <CharactersWithSpaces>9856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Aged Care Pricing Commissioner Annual Report 1 JULY 2013 – 30 JUNE 2014</dc:title>
  <dc:creator>Aged Care Pricing Commissioner</dc:creator>
  <cp:lastModifiedBy>AYRES, David</cp:lastModifiedBy>
  <cp:revision>4</cp:revision>
  <dcterms:created xsi:type="dcterms:W3CDTF">2014-09-25T03:08:00Z</dcterms:created>
  <dcterms:modified xsi:type="dcterms:W3CDTF">2014-09-25T03:11:00Z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